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DC390B">
        <w:rPr>
          <w:rFonts w:ascii="Times New Roman" w:eastAsia="Times New Roman" w:hAnsi="Times New Roman" w:cs="Times New Roman"/>
          <w:sz w:val="28"/>
          <w:szCs w:val="20"/>
          <w:lang w:eastAsia="pl-PL"/>
        </w:rPr>
        <w:t xml:space="preserve"> SPECYFIKACJE TECHNICZNE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sidRPr="00DC390B">
        <w:rPr>
          <w:rFonts w:ascii="Times New Roman" w:eastAsia="Times New Roman" w:hAnsi="Times New Roman" w:cs="Times New Roman"/>
          <w:b/>
          <w:sz w:val="28"/>
          <w:szCs w:val="20"/>
          <w:lang w:eastAsia="pl-PL"/>
        </w:rPr>
        <w:t>D - 07.02.01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r w:rsidRPr="00DC390B">
        <w:rPr>
          <w:rFonts w:ascii="Times New Roman" w:eastAsia="Times New Roman" w:hAnsi="Times New Roman" w:cs="Times New Roman"/>
          <w:b/>
          <w:sz w:val="28"/>
          <w:szCs w:val="20"/>
          <w:lang w:eastAsia="pl-PL"/>
        </w:rPr>
        <w:t>OZNAKOWANIE  PIONOWE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2007C4" w:rsidRDefault="002007C4"/>
    <w:p w:rsidR="00DC390B" w:rsidRDefault="00DC390B"/>
    <w:p w:rsidR="00DC390B" w:rsidRDefault="00DC390B"/>
    <w:p w:rsidR="00DC390B" w:rsidRDefault="00DC390B" w:rsidP="00DC390B">
      <w:pPr>
        <w:rPr>
          <w:b/>
          <w:szCs w:val="24"/>
        </w:rPr>
      </w:pPr>
    </w:p>
    <w:p w:rsidR="00DC390B" w:rsidRDefault="00DC390B" w:rsidP="00DC390B">
      <w:pPr>
        <w:rPr>
          <w:b/>
          <w:szCs w:val="24"/>
        </w:rPr>
      </w:pPr>
    </w:p>
    <w:p w:rsidR="00DC390B" w:rsidRDefault="00DC390B">
      <w:pPr>
        <w:rPr>
          <w:b/>
          <w:szCs w:val="24"/>
        </w:rPr>
      </w:pPr>
      <w:r>
        <w:rPr>
          <w:b/>
          <w:szCs w:val="24"/>
        </w:rPr>
        <w:br w:type="page"/>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0" w:name="_Toc404150096"/>
      <w:bookmarkStart w:id="1" w:name="_Toc416830698"/>
      <w:bookmarkStart w:id="2" w:name="_Toc236626155"/>
      <w:bookmarkStart w:id="3" w:name="_Toc505581984"/>
      <w:r w:rsidRPr="00DC390B">
        <w:rPr>
          <w:rFonts w:ascii="Times New Roman" w:eastAsia="Times New Roman" w:hAnsi="Times New Roman" w:cs="Times New Roman"/>
          <w:b/>
          <w:caps/>
          <w:kern w:val="28"/>
          <w:sz w:val="24"/>
          <w:szCs w:val="24"/>
          <w:lang w:eastAsia="pl-PL"/>
        </w:rPr>
        <w:lastRenderedPageBreak/>
        <w:t xml:space="preserve">1. </w:t>
      </w:r>
      <w:bookmarkEnd w:id="0"/>
      <w:bookmarkEnd w:id="1"/>
      <w:bookmarkEnd w:id="2"/>
      <w:r w:rsidRPr="00DC390B">
        <w:rPr>
          <w:rFonts w:ascii="Times New Roman" w:eastAsia="Times New Roman" w:hAnsi="Times New Roman" w:cs="Times New Roman"/>
          <w:b/>
          <w:caps/>
          <w:kern w:val="28"/>
          <w:sz w:val="24"/>
          <w:szCs w:val="24"/>
          <w:lang w:eastAsia="pl-PL"/>
        </w:rPr>
        <w:t>Wstęp</w:t>
      </w:r>
      <w:bookmarkEnd w:id="3"/>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4" w:name="_Toc405615031"/>
      <w:bookmarkStart w:id="5" w:name="_Toc407161179"/>
      <w:r>
        <w:rPr>
          <w:rFonts w:ascii="Times New Roman" w:eastAsia="Times New Roman" w:hAnsi="Times New Roman" w:cs="Times New Roman"/>
          <w:b/>
          <w:sz w:val="24"/>
          <w:szCs w:val="24"/>
          <w:lang w:eastAsia="pl-PL"/>
        </w:rPr>
        <w:t>1.1. Przedmiot S</w:t>
      </w:r>
      <w:r w:rsidRPr="00DC390B">
        <w:rPr>
          <w:rFonts w:ascii="Times New Roman" w:eastAsia="Times New Roman" w:hAnsi="Times New Roman" w:cs="Times New Roman"/>
          <w:b/>
          <w:sz w:val="24"/>
          <w:szCs w:val="24"/>
          <w:lang w:eastAsia="pl-PL"/>
        </w:rPr>
        <w:t>ST</w:t>
      </w:r>
      <w:bookmarkEnd w:id="4"/>
      <w:bookmarkEnd w:id="5"/>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Przedmiotem niniejszej szczegółowej specyfikacji technicznej (S</w:t>
      </w:r>
      <w:r w:rsidRPr="00DC390B">
        <w:rPr>
          <w:rFonts w:ascii="Times New Roman" w:eastAsia="Times New Roman" w:hAnsi="Times New Roman" w:cs="Times New Roman"/>
          <w:sz w:val="24"/>
          <w:szCs w:val="24"/>
          <w:lang w:eastAsia="pl-PL"/>
        </w:rPr>
        <w:t>ST) są wymagania dotyczące wykonania i odbioru oznakowania pionowego dróg. Specyfikacja nie dotyczy znaków zmiennej treści.</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6" w:name="_Toc405615032"/>
      <w:bookmarkStart w:id="7" w:name="_Toc407161180"/>
      <w:r>
        <w:rPr>
          <w:rFonts w:ascii="Times New Roman" w:eastAsia="Times New Roman" w:hAnsi="Times New Roman" w:cs="Times New Roman"/>
          <w:b/>
          <w:sz w:val="24"/>
          <w:szCs w:val="24"/>
          <w:lang w:eastAsia="pl-PL"/>
        </w:rPr>
        <w:t>1.2. Zakres stosowania S</w:t>
      </w:r>
      <w:r w:rsidRPr="00DC390B">
        <w:rPr>
          <w:rFonts w:ascii="Times New Roman" w:eastAsia="Times New Roman" w:hAnsi="Times New Roman" w:cs="Times New Roman"/>
          <w:b/>
          <w:sz w:val="24"/>
          <w:szCs w:val="24"/>
          <w:lang w:eastAsia="pl-PL"/>
        </w:rPr>
        <w:t>ST</w:t>
      </w:r>
      <w:bookmarkEnd w:id="6"/>
      <w:bookmarkEnd w:id="7"/>
    </w:p>
    <w:p w:rsidR="00DC390B" w:rsidRPr="008D5D3F" w:rsidRDefault="00DC390B" w:rsidP="00DC390B">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0"/>
          <w:lang w:eastAsia="pl-PL"/>
        </w:rPr>
        <w:tab/>
      </w:r>
      <w:r w:rsidRPr="008D5D3F">
        <w:rPr>
          <w:rFonts w:ascii="Times New Roman" w:eastAsia="Times New Roman" w:hAnsi="Times New Roman" w:cs="Times New Roman"/>
          <w:sz w:val="24"/>
          <w:szCs w:val="24"/>
          <w:lang w:eastAsia="pl-PL"/>
        </w:rPr>
        <w:t>Szczegółowa specyfikacja techniczna (SST) stanowi dokument przetargowy i kontraktowy przy zlecaniu i realizacji zadania :</w:t>
      </w:r>
    </w:p>
    <w:p w:rsidR="00DC390B" w:rsidRPr="008D5D3F"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pl-PL"/>
        </w:rPr>
      </w:pPr>
    </w:p>
    <w:p w:rsidR="00811CC2" w:rsidRPr="00811CC2" w:rsidRDefault="00811CC2" w:rsidP="00811CC2">
      <w:pPr>
        <w:overflowPunct w:val="0"/>
        <w:autoSpaceDE w:val="0"/>
        <w:autoSpaceDN w:val="0"/>
        <w:adjustRightInd w:val="0"/>
        <w:spacing w:after="0" w:line="240" w:lineRule="auto"/>
        <w:ind w:firstLine="709"/>
        <w:jc w:val="center"/>
        <w:textAlignment w:val="baseline"/>
        <w:rPr>
          <w:rFonts w:asciiTheme="majorHAnsi" w:eastAsia="Times New Roman" w:hAnsiTheme="majorHAnsi" w:cs="Times New Roman"/>
          <w:b/>
          <w:i/>
          <w:color w:val="000000" w:themeColor="text1"/>
          <w:sz w:val="20"/>
          <w:szCs w:val="20"/>
          <w:lang w:eastAsia="pl-PL"/>
        </w:rPr>
      </w:pPr>
      <w:r w:rsidRPr="00811CC2">
        <w:rPr>
          <w:rFonts w:asciiTheme="majorHAnsi" w:eastAsia="Times New Roman" w:hAnsiTheme="majorHAnsi" w:cs="Arial"/>
          <w:b/>
          <w:i/>
          <w:color w:val="000000" w:themeColor="text1"/>
          <w:sz w:val="24"/>
          <w:szCs w:val="24"/>
          <w:lang w:eastAsia="pl-PL"/>
        </w:rPr>
        <w:t>"Przebudowa drogi powiatowej Nr1023R Pysznica - Piskorowy Staw"</w:t>
      </w:r>
    </w:p>
    <w:p w:rsidR="00DC390B" w:rsidRPr="008D5D3F" w:rsidRDefault="00DC390B" w:rsidP="00DC390B">
      <w:pPr>
        <w:spacing w:after="0" w:line="240" w:lineRule="auto"/>
        <w:jc w:val="center"/>
        <w:rPr>
          <w:rFonts w:ascii="Times New Roman" w:eastAsia="Times New Roman" w:hAnsi="Times New Roman" w:cs="Times New Roman"/>
          <w:b/>
          <w:i/>
          <w:sz w:val="24"/>
          <w:szCs w:val="24"/>
          <w:lang w:eastAsia="pl-PL"/>
        </w:rPr>
      </w:pPr>
      <w:bookmarkStart w:id="8" w:name="_GoBack"/>
      <w:bookmarkEnd w:id="8"/>
    </w:p>
    <w:p w:rsid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 [19].</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9" w:name="_Toc405615033"/>
      <w:bookmarkStart w:id="10" w:name="_Toc407161181"/>
      <w:r w:rsidRPr="00DC390B">
        <w:rPr>
          <w:rFonts w:ascii="Times New Roman" w:eastAsia="Times New Roman" w:hAnsi="Times New Roman" w:cs="Times New Roman"/>
          <w:b/>
          <w:sz w:val="24"/>
          <w:szCs w:val="24"/>
          <w:lang w:eastAsia="pl-PL"/>
        </w:rPr>
        <w:t xml:space="preserve">1.3. Zakres robót objętych </w:t>
      </w:r>
      <w:r>
        <w:rPr>
          <w:rFonts w:ascii="Times New Roman" w:eastAsia="Times New Roman" w:hAnsi="Times New Roman" w:cs="Times New Roman"/>
          <w:b/>
          <w:sz w:val="24"/>
          <w:szCs w:val="24"/>
          <w:lang w:eastAsia="pl-PL"/>
        </w:rPr>
        <w:t>S</w:t>
      </w:r>
      <w:r w:rsidRPr="00DC390B">
        <w:rPr>
          <w:rFonts w:ascii="Times New Roman" w:eastAsia="Times New Roman" w:hAnsi="Times New Roman" w:cs="Times New Roman"/>
          <w:b/>
          <w:sz w:val="24"/>
          <w:szCs w:val="24"/>
          <w:lang w:eastAsia="pl-PL"/>
        </w:rPr>
        <w:t>ST</w:t>
      </w:r>
      <w:bookmarkEnd w:id="9"/>
      <w:bookmarkEnd w:id="10"/>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ab/>
      </w:r>
      <w:r w:rsidRPr="00DC390B">
        <w:rPr>
          <w:rFonts w:ascii="Times New Roman" w:eastAsia="Times New Roman" w:hAnsi="Times New Roman" w:cs="Times New Roman"/>
          <w:sz w:val="24"/>
          <w:szCs w:val="20"/>
          <w:lang w:eastAsia="pl-PL"/>
        </w:rPr>
        <w:t>Ustalenia zawarte w niniejszej specyfikacji dotyczą zasad prowadzenia robót związanych z wykonywaniem i odbiorem oznakowania pionowego stosowanego na drogach [20], w postaci:</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ostrzegawczych – kategoria A,</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zakazu i nakazu – kategoria B i C,</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informacyjnych oraz kierunku i miejscowości – kategoria D i E,</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uzupełniających– kategoria F,</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przed przejazdami kolejowymi – kategoria G,</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szlaków rowerowych – kategoria R,</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tabliczek do znaków drogowych – kategoria 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tramwajami – kategoria AT,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pojazdami wojskowymi – kategoria W.</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niniejszej specyfikacji występują grupy znaków pionowych o następującej wielkości:</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wielkie (W),</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duże (D),</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średnie (Ś),</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małe (M),</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mini (MI).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zrezygnować z projektowania i ustawiania znaków wielkich.</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1.4. Określenia podstawowe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 </w:t>
      </w:r>
      <w:r w:rsidRPr="00DC390B">
        <w:rPr>
          <w:rFonts w:ascii="Times New Roman" w:eastAsia="Times New Roman" w:hAnsi="Times New Roman" w:cs="Times New Roman"/>
          <w:sz w:val="24"/>
          <w:szCs w:val="20"/>
          <w:lang w:eastAsia="pl-PL"/>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1.4.2. </w:t>
      </w:r>
      <w:r w:rsidRPr="00DC390B">
        <w:rPr>
          <w:rFonts w:ascii="Times New Roman" w:eastAsia="Times New Roman" w:hAnsi="Times New Roman" w:cs="Times New Roman"/>
          <w:sz w:val="24"/>
          <w:szCs w:val="20"/>
          <w:lang w:eastAsia="pl-PL"/>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w:t>
      </w:r>
      <w:r w:rsidRPr="00DC390B">
        <w:rPr>
          <w:rFonts w:ascii="Times New Roman" w:eastAsia="Times New Roman" w:hAnsi="Times New Roman" w:cs="Times New Roman"/>
          <w:sz w:val="24"/>
          <w:szCs w:val="20"/>
          <w:lang w:eastAsia="pl-PL"/>
        </w:rPr>
        <w:lastRenderedPageBreak/>
        <w:t>ocynkowanej ogniowo, aluminiowej zabezpieczonej przed procesami korozji powłokami ochronnymi zapewniającymi jakość i trwałość wykonanego znaku, z płyty warstwowej lub z innego materiału zapewniającego odpowiednią do przeznaczenia trwałość.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1.4.3. </w:t>
      </w:r>
      <w:r w:rsidRPr="00DC390B">
        <w:rPr>
          <w:rFonts w:ascii="Times New Roman" w:eastAsia="Times New Roman" w:hAnsi="Times New Roman" w:cs="Times New Roman"/>
          <w:sz w:val="24"/>
          <w:szCs w:val="20"/>
          <w:lang w:eastAsia="pl-PL"/>
        </w:rPr>
        <w:t xml:space="preserve">Lico znaku - to przednia część znaku, wykonana z samoprzylepnej folii odblaskowej lub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z naniesioną treścią: wykonaną techniką druku sitowego, druku cyfrowego, wyklejaną z transparentnych folii ploterowych lub z folii odblaskowych lub </w:t>
      </w:r>
      <w:proofErr w:type="spellStart"/>
      <w:r w:rsidRPr="00DC390B">
        <w:rPr>
          <w:rFonts w:ascii="Times New Roman" w:eastAsia="Times New Roman" w:hAnsi="Times New Roman" w:cs="Times New Roman"/>
          <w:sz w:val="24"/>
          <w:szCs w:val="20"/>
          <w:lang w:eastAsia="pl-PL"/>
        </w:rPr>
        <w:t>nieodblaskowych</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1.4.4. </w:t>
      </w:r>
      <w:r w:rsidRPr="00DC390B">
        <w:rPr>
          <w:rFonts w:ascii="Times New Roman" w:eastAsia="Times New Roman" w:hAnsi="Times New Roman" w:cs="Times New Roman"/>
          <w:sz w:val="24"/>
          <w:szCs w:val="20"/>
          <w:lang w:eastAsia="pl-PL"/>
        </w:rPr>
        <w:t>Uchwyt mocujący - element stalowy, aluminiowy lub z tworzywa sztucznego zabezpieczony przed korozją, służący do zamocowania w sposób rozłączny tarczy znaku do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1.4.5. </w:t>
      </w:r>
      <w:r w:rsidRPr="00DC390B">
        <w:rPr>
          <w:rFonts w:ascii="Times New Roman" w:eastAsia="Times New Roman" w:hAnsi="Times New Roman" w:cs="Times New Roman"/>
          <w:sz w:val="24"/>
          <w:szCs w:val="20"/>
          <w:lang w:eastAsia="pl-PL"/>
        </w:rPr>
        <w:t xml:space="preserve">Znak drogowy odblaskowy - znak, którego lico wykazuje właściwości odblaskowe (wykonane jest z materiału o odbiciu powrotnym - </w:t>
      </w:r>
      <w:proofErr w:type="spellStart"/>
      <w:r w:rsidRPr="00DC390B">
        <w:rPr>
          <w:rFonts w:ascii="Times New Roman" w:eastAsia="Times New Roman" w:hAnsi="Times New Roman" w:cs="Times New Roman"/>
          <w:sz w:val="24"/>
          <w:szCs w:val="20"/>
          <w:lang w:eastAsia="pl-PL"/>
        </w:rPr>
        <w:t>współdrożnym</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1.4.6. </w:t>
      </w:r>
      <w:r w:rsidRPr="00DC390B">
        <w:rPr>
          <w:rFonts w:ascii="Times New Roman" w:eastAsia="Times New Roman" w:hAnsi="Times New Roman" w:cs="Times New Roman"/>
          <w:sz w:val="24"/>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1.4.7. </w:t>
      </w:r>
      <w:r w:rsidRPr="00DC390B">
        <w:rPr>
          <w:rFonts w:ascii="Times New Roman" w:eastAsia="Times New Roman" w:hAnsi="Times New Roman" w:cs="Times New Roman"/>
          <w:color w:val="252525"/>
          <w:sz w:val="24"/>
          <w:szCs w:val="20"/>
          <w:shd w:val="clear" w:color="auto" w:fill="FFFFFF"/>
          <w:lang w:eastAsia="pl-PL"/>
        </w:rPr>
        <w:t>Bezpieczna konstrukcja wsporcza</w:t>
      </w:r>
      <w:r w:rsidRPr="00DC390B">
        <w:rPr>
          <w:rFonts w:ascii="Times New Roman" w:eastAsia="Times New Roman" w:hAnsi="Times New Roman" w:cs="Times New Roman"/>
          <w:i/>
          <w:color w:val="252525"/>
          <w:sz w:val="24"/>
          <w:szCs w:val="20"/>
          <w:shd w:val="clear" w:color="auto" w:fill="FFFFFF"/>
          <w:lang w:eastAsia="pl-PL"/>
        </w:rPr>
        <w:t xml:space="preserve"> – </w:t>
      </w:r>
      <w:r w:rsidRPr="00DC390B">
        <w:rPr>
          <w:rFonts w:ascii="Times New Roman" w:eastAsia="Times New Roman" w:hAnsi="Times New Roman" w:cs="Times New Roman"/>
          <w:color w:val="252525"/>
          <w:sz w:val="24"/>
          <w:szCs w:val="20"/>
          <w:shd w:val="clear" w:color="auto" w:fill="FFFFFF"/>
          <w:lang w:eastAsia="pl-PL"/>
        </w:rPr>
        <w:t>konstrukcja wsporcza znaku, spełniająca wymagania PN-EN 12767:2008 [2] w określonych kategoriach pochłaniania energii zderzenia oraz poziomach bezpieczeństwa kierujących i pasażerów pojazdu – większych od zera.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1.4.8. </w:t>
      </w:r>
      <w:r w:rsidRPr="00DC390B">
        <w:rPr>
          <w:rFonts w:ascii="Times New Roman" w:eastAsia="Times New Roman" w:hAnsi="Times New Roman" w:cs="Times New Roman"/>
          <w:sz w:val="24"/>
          <w:szCs w:val="20"/>
          <w:lang w:eastAsia="pl-PL"/>
        </w:rPr>
        <w:t xml:space="preserve">Znak drogowy pionowy podświetlany - znak, wykonany w formie szczelnej obudowy, z umieszczonym w jej wnętrzu źródłem światła. Lico znaku stanowi </w:t>
      </w:r>
      <w:proofErr w:type="spellStart"/>
      <w:r w:rsidRPr="00DC390B">
        <w:rPr>
          <w:rFonts w:ascii="Times New Roman" w:eastAsia="Times New Roman" w:hAnsi="Times New Roman" w:cs="Times New Roman"/>
          <w:sz w:val="24"/>
          <w:szCs w:val="20"/>
          <w:lang w:eastAsia="pl-PL"/>
        </w:rPr>
        <w:t>transluminentna</w:t>
      </w:r>
      <w:proofErr w:type="spellEnd"/>
      <w:r w:rsidRPr="00DC390B">
        <w:rPr>
          <w:rFonts w:ascii="Times New Roman" w:eastAsia="Times New Roman" w:hAnsi="Times New Roman" w:cs="Times New Roman"/>
          <w:sz w:val="24"/>
          <w:szCs w:val="20"/>
          <w:lang w:eastAsia="pl-PL"/>
        </w:rPr>
        <w:t xml:space="preserve"> powłoka, na którą naniesiony jest symbol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1.4.9. </w:t>
      </w:r>
      <w:r w:rsidRPr="00DC390B">
        <w:rPr>
          <w:rFonts w:ascii="Times New Roman" w:eastAsia="Times New Roman" w:hAnsi="Times New Roman" w:cs="Times New Roman"/>
          <w:sz w:val="24"/>
          <w:szCs w:val="20"/>
          <w:lang w:eastAsia="pl-PL"/>
        </w:rPr>
        <w:t>Znak drogowy pionowy oświetlany - znak, którego odblaskowe lico jest oświetlane źródłem światła umieszczonym na zewnątrz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b/>
          <w:sz w:val="24"/>
          <w:szCs w:val="20"/>
          <w:lang w:eastAsia="pl-PL"/>
        </w:rPr>
        <w:t xml:space="preserve">1.4.10. </w:t>
      </w:r>
      <w:r w:rsidRPr="00DC390B">
        <w:rPr>
          <w:rFonts w:ascii="Times New Roman" w:eastAsia="Times New Roman" w:hAnsi="Times New Roman" w:cs="Times New Roman"/>
          <w:sz w:val="24"/>
          <w:szCs w:val="20"/>
          <w:lang w:eastAsia="pl-PL"/>
        </w:rPr>
        <w:t>Znak drogowy pionowy aktywny</w:t>
      </w:r>
      <w:r w:rsidRPr="00DC390B">
        <w:rPr>
          <w:rFonts w:ascii="Times New Roman" w:eastAsia="Times New Roman" w:hAnsi="Times New Roman" w:cs="Times New Roman"/>
          <w:i/>
          <w:sz w:val="24"/>
          <w:szCs w:val="20"/>
          <w:lang w:eastAsia="pl-PL"/>
        </w:rPr>
        <w:t xml:space="preserve"> – </w:t>
      </w:r>
      <w:r w:rsidRPr="00DC390B">
        <w:rPr>
          <w:rFonts w:ascii="Times New Roman" w:eastAsia="Times New Roman" w:hAnsi="Times New Roman" w:cs="Times New Roman"/>
          <w:sz w:val="24"/>
          <w:szCs w:val="20"/>
          <w:lang w:eastAsia="pl-PL"/>
        </w:rPr>
        <w:t>odblaskowy znak drogowy o niezmiennej treści, wyposażony w pulsujące punktowe źródła światła zasilane prądem elektrycznym.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1.4.11. </w:t>
      </w:r>
      <w:r w:rsidRPr="00DC390B">
        <w:rPr>
          <w:rFonts w:ascii="Times New Roman" w:eastAsia="Times New Roman" w:hAnsi="Times New Roman" w:cs="Times New Roman"/>
          <w:sz w:val="24"/>
          <w:szCs w:val="20"/>
          <w:lang w:eastAsia="pl-PL"/>
        </w:rPr>
        <w:t>Znak nowy - znak użytkowany (ustawiony na drodze) lub magazynowany w okresie do 3 miesięcy od daty produkcji.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1.4.12. </w:t>
      </w:r>
      <w:r w:rsidRPr="00DC390B">
        <w:rPr>
          <w:rFonts w:ascii="Times New Roman" w:eastAsia="Times New Roman" w:hAnsi="Times New Roman" w:cs="Times New Roman"/>
          <w:sz w:val="24"/>
          <w:szCs w:val="20"/>
          <w:lang w:eastAsia="pl-PL"/>
        </w:rPr>
        <w:t xml:space="preserve">Pozostałe określenia podstawowe są zgodne z odpowiednimi specyfikacjami technicznymi i z definicjami podanymi w OST D-M-00.00.00 „Wymagania ogólne” pkt 1.4. </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1.5. Ogólne wymagania dotyczące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wymagania dotyczące robót podano w OST D-M-00.00.00 „Wymagania ogólne” pkt 1.5.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505581985"/>
      <w:r w:rsidRPr="00DC390B">
        <w:rPr>
          <w:rFonts w:ascii="Times New Roman" w:eastAsia="Times New Roman" w:hAnsi="Times New Roman" w:cs="Times New Roman"/>
          <w:b/>
          <w:caps/>
          <w:kern w:val="28"/>
          <w:sz w:val="24"/>
          <w:szCs w:val="20"/>
          <w:lang w:eastAsia="pl-PL"/>
        </w:rPr>
        <w:t>2. Materiały</w:t>
      </w:r>
      <w:bookmarkEnd w:id="1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 Ogólne wymagania dotyczące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materiałów, ich pozyskiwania i składowania, podano w OST D-M-00.00.00 „Wymagania ogólne” pkt 2.</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2.2. Wprowadzenie wyrobu do obrotu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Wyroby, których nie obejmuje norma zharmonizowana, np. folie odblaskowe pryzmatyczne mogą uzyskać europejską ocenę techniczną np. na podstawie wytycznych dla wcześniejszej europejskiej aprobaty technicznej [23] lub krajową ocenę techniczną [31].</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Jeśli wyrób budowlany jest zgodny z wydaną dla niego krajową oceną techniczną, producent może sporządzić krajową deklarację właściwości użytkowych, oznakować wyrób 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wydane przed 1 stycznia 2017 r. mogą być wykorzystywane jako krajowe oceny techniczne do końca okresu ważności tych aprobat [24].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2.3. Obowiązujący system oceny i weryfikacji stałości właściwości użytkowych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rsidR="00DC390B" w:rsidRPr="00DC390B" w:rsidRDefault="00DC390B" w:rsidP="00DC390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2.4. Materiały stosowane do fundamentów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Fundamenty dla zamocowania konstrukcji wsporczych znaków mogą być wykonywane: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jako prefabrykaty betonowe,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przygotowanym wcześniej fundamencie (tzw. stopa fundamentowa),</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wykonywanego „na mokro”, bezpośrednio w gruncie,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zbrojonego,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Inne rozwiązania wymagają akceptacji przez Inżyniera.</w:t>
      </w:r>
    </w:p>
    <w:p w:rsidR="00DC390B" w:rsidRPr="00DC390B" w:rsidRDefault="00DC390B" w:rsidP="00DC390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 xml:space="preserve">Dla fundamentów należy opracować dokumentację techniczną zgodną z obowiązującymi przepisami. </w:t>
      </w:r>
      <w:r w:rsidRPr="00DC390B">
        <w:rPr>
          <w:rFonts w:ascii="Times New Roman" w:eastAsia="Times New Roman" w:hAnsi="Times New Roman" w:cs="Times New Roman"/>
          <w:bCs/>
          <w:sz w:val="24"/>
          <w:szCs w:val="24"/>
          <w:lang w:eastAsia="pl-PL"/>
        </w:rPr>
        <w:t>Zaprojektowane fundamenty powinny odpowiadać wymaganiom normy PN-EN-1992-1-1:2008 [3]</w:t>
      </w:r>
      <w:r w:rsidRPr="00DC390B">
        <w:rPr>
          <w:rFonts w:ascii="Times New Roman" w:eastAsia="Times New Roman" w:hAnsi="Times New Roman" w:cs="Times New Roman"/>
          <w:sz w:val="24"/>
          <w:szCs w:val="24"/>
          <w:lang w:eastAsia="pl-PL"/>
        </w:rPr>
        <w:t>. Zaleca się wykonać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przemarzania gruntu</w:t>
      </w:r>
      <w:r w:rsidRPr="00DC390B">
        <w:rPr>
          <w:rFonts w:ascii="Times New Roman" w:eastAsia="Times New Roman" w:hAnsi="Times New Roman" w:cs="Times New Roman"/>
          <w:bCs/>
          <w:sz w:val="24"/>
          <w:szCs w:val="24"/>
          <w:lang w:eastAsia="pl-PL"/>
        </w:rPr>
        <w:t>.</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2.5. Konstrukcje wsporcze</w:t>
      </w:r>
    </w:p>
    <w:p w:rsidR="00DC390B" w:rsidRPr="00DC390B" w:rsidRDefault="00DC390B" w:rsidP="00DC390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2.5.1. </w:t>
      </w:r>
      <w:r w:rsidRPr="00DC390B">
        <w:rPr>
          <w:rFonts w:ascii="Times New Roman" w:eastAsia="Times New Roman" w:hAnsi="Times New Roman" w:cs="Times New Roman"/>
          <w:sz w:val="24"/>
          <w:szCs w:val="20"/>
          <w:lang w:eastAsia="pl-PL"/>
        </w:rPr>
        <w:t>Ogólna charakterystyka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pionowych należy zaprojektować i wykonać w sposób</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gwarantujący stabilne</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i</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prawidłowe ustawienie w pasie drogowym, zgodnie z dokumentacją projektową uwzględniającą wymagania postawione w PN-EN 12899-1:2010 [1] i ST, a w przypadku braku wystarczających ustaleń, zgodnie z propozycją Wykonawcy zaakceptowaną przez Inżyniera. Konstrukcję wsporczą stanowi każdy rodzaj konstrukcji wymieniony w pkt 1.4.6.</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zależności od szerokości znaku lub tablicy, konstrukcja wsporcza może posiadać jedną dwie lub trzy podpory.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następujący sposób doboru konstrukcji do powierzchni tablic:</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 m – 1 słupek,</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1 m – 2 słupki,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2 słupki z podporami,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2,5 m – 2 słupki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76,1 × 3,2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3 m – 3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10 - 14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do powierzchni A ≥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4 m – 4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konstrukcji </w:t>
      </w:r>
      <w:proofErr w:type="spellStart"/>
      <w:r w:rsidRPr="00DC390B">
        <w:rPr>
          <w:rFonts w:ascii="Times New Roman" w:eastAsia="Times New Roman" w:hAnsi="Times New Roman" w:cs="Times New Roman"/>
          <w:sz w:val="24"/>
          <w:szCs w:val="20"/>
          <w:lang w:eastAsia="pl-PL"/>
        </w:rPr>
        <w:t>bramownicowych</w:t>
      </w:r>
      <w:proofErr w:type="spellEnd"/>
      <w:r w:rsidRPr="00DC390B">
        <w:rPr>
          <w:rFonts w:ascii="Times New Roman" w:eastAsia="Times New Roman" w:hAnsi="Times New Roman" w:cs="Times New Roman"/>
          <w:sz w:val="24"/>
          <w:szCs w:val="20"/>
          <w:lang w:eastAsia="pl-PL"/>
        </w:rPr>
        <w:t xml:space="preserve"> i wysięgników należy wykonać projekt konstrukcyjny.</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sz w:val="24"/>
          <w:szCs w:val="20"/>
          <w:lang w:eastAsia="pl-PL"/>
        </w:rPr>
        <w:tab/>
        <w:t>Wyr</w:t>
      </w:r>
      <w:r w:rsidRPr="00DC390B">
        <w:rPr>
          <w:rFonts w:ascii="Times New Roman" w:eastAsia="Times New Roman" w:hAnsi="Times New Roman" w:cs="Times New Roman"/>
          <w:color w:val="000000"/>
          <w:sz w:val="24"/>
          <w:szCs w:val="20"/>
          <w:lang w:eastAsia="pl-PL"/>
        </w:rPr>
        <w:t>óżnia się trzy kategorie biernego bezpieczeństwa dla konstrukcji wsporczych:</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wysokim stopniu (HE),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niskim stopniu (LE),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nie pochłaniająca energii (NE).</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2.5.2. </w:t>
      </w:r>
      <w:r w:rsidRPr="00DC390B">
        <w:rPr>
          <w:rFonts w:ascii="Times New Roman" w:eastAsia="Times New Roman" w:hAnsi="Times New Roman" w:cs="Times New Roman"/>
          <w:sz w:val="24"/>
          <w:szCs w:val="20"/>
          <w:lang w:eastAsia="pl-PL"/>
        </w:rPr>
        <w:t>Materiały do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konstrukcji wsporczych zaleca się stosować następujące materiały:</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rury ocynkowane ze szwem lub bez, gładkie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60,3 × 2,4; 2,9 i 3,2 mm i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76,1 × 2,9; 3,2 mm, 88,9 × 3,2mm,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w:t>
      </w:r>
      <w:proofErr w:type="spellStart"/>
      <w:r w:rsidRPr="00DC390B">
        <w:rPr>
          <w:rFonts w:ascii="Times New Roman" w:eastAsia="Times New Roman" w:hAnsi="Times New Roman" w:cs="Times New Roman"/>
          <w:color w:val="000000"/>
          <w:sz w:val="24"/>
          <w:szCs w:val="20"/>
          <w:lang w:eastAsia="pl-PL"/>
        </w:rPr>
        <w:t>Prolife</w:t>
      </w:r>
      <w:proofErr w:type="spellEnd"/>
      <w:r w:rsidRPr="00DC390B">
        <w:rPr>
          <w:rFonts w:ascii="Times New Roman" w:eastAsia="Times New Roman" w:hAnsi="Times New Roman" w:cs="Times New Roman"/>
          <w:color w:val="000000"/>
          <w:sz w:val="24"/>
          <w:szCs w:val="20"/>
          <w:lang w:eastAsia="pl-PL"/>
        </w:rPr>
        <w:t>” , pojedyncze i wielokrotne,</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pręty stalowe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14 – 20 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inne materiały, których zastosowanie zostało zawarte w projektach konstrukcyjnych,</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kompozytowe do tarcz z materiałów kompozytowych.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fr-FR" w:eastAsia="pl-PL"/>
        </w:rPr>
      </w:pPr>
      <w:r w:rsidRPr="00DC390B">
        <w:rPr>
          <w:rFonts w:ascii="Times New Roman" w:eastAsia="Times New Roman" w:hAnsi="Times New Roman" w:cs="Times New Roman"/>
          <w:sz w:val="24"/>
          <w:szCs w:val="20"/>
          <w:lang w:eastAsia="pl-PL"/>
        </w:rPr>
        <w:tab/>
        <w:t xml:space="preserve">Słupki do znaków drogowych powinny być wykonane ze stali ocynkowanej ogniowo i spełniać wymagania zawarte w PN-EN 10255+A1:2009 [6]. Grubość powłoki cynku na słupku powinna wynosić minimum 60 </w:t>
      </w:r>
      <w:proofErr w:type="spellStart"/>
      <w:r w:rsidRPr="00DC390B">
        <w:rPr>
          <w:rFonts w:ascii="Times New Roman" w:eastAsia="Times New Roman" w:hAnsi="Times New Roman" w:cs="Times New Roman"/>
          <w:sz w:val="24"/>
          <w:szCs w:val="20"/>
          <w:lang w:eastAsia="pl-PL"/>
        </w:rPr>
        <w:t>μm</w:t>
      </w:r>
      <w:proofErr w:type="spellEnd"/>
      <w:r w:rsidRPr="00DC390B">
        <w:rPr>
          <w:rFonts w:ascii="Times New Roman" w:eastAsia="Times New Roman" w:hAnsi="Times New Roman" w:cs="Times New Roman"/>
          <w:sz w:val="24"/>
          <w:szCs w:val="20"/>
          <w:lang w:eastAsia="pl-PL"/>
        </w:rPr>
        <w:t>.</w:t>
      </w:r>
      <w:r w:rsidRPr="00DC390B">
        <w:rPr>
          <w:rFonts w:ascii="Times New Roman" w:eastAsia="Times New Roman" w:hAnsi="Times New Roman" w:cs="Times New Roman"/>
          <w:sz w:val="24"/>
          <w:szCs w:val="20"/>
          <w:lang w:val="fr-FR" w:eastAsia="pl-PL"/>
        </w:rPr>
        <w:t xml:space="preserve"> </w:t>
      </w:r>
      <w:r w:rsidRPr="00DC390B">
        <w:rPr>
          <w:rFonts w:ascii="Times New Roman" w:eastAsia="Times New Roman" w:hAnsi="Times New Roman" w:cs="Times New Roman"/>
          <w:sz w:val="24"/>
          <w:szCs w:val="20"/>
          <w:lang w:eastAsia="pl-PL"/>
        </w:rPr>
        <w:t xml:space="preserve">Tarczę znaku o powierzchni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0,8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zaleca się instalować na słupkach rurowych o wymiarach co najmniej 76,1/3,2 mm.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Pożądane jest, aby rury były dostarczane o długościach:</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dokładnych, zgodnych z zamówieniem; z dopuszczalną odchyłką </w:t>
      </w:r>
      <w:r w:rsidRPr="00DC390B">
        <w:rPr>
          <w:rFonts w:ascii="Times New Roman" w:eastAsia="Times New Roman" w:hAnsi="Times New Roman" w:cs="Times New Roman"/>
          <w:color w:val="000000"/>
          <w:sz w:val="24"/>
          <w:szCs w:val="20"/>
          <w:lang w:eastAsia="pl-PL"/>
        </w:rPr>
        <w:sym w:font="Symbol" w:char="F0B1"/>
      </w:r>
      <w:r w:rsidRPr="00DC390B">
        <w:rPr>
          <w:rFonts w:ascii="Times New Roman" w:eastAsia="Times New Roman" w:hAnsi="Times New Roman" w:cs="Times New Roman"/>
          <w:color w:val="000000"/>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color w:val="000000"/>
            <w:sz w:val="24"/>
            <w:szCs w:val="20"/>
            <w:lang w:eastAsia="pl-PL"/>
          </w:rPr>
          <w:t>10 mm</w:t>
        </w:r>
      </w:smartTag>
      <w:r w:rsidRPr="00DC390B">
        <w:rPr>
          <w:rFonts w:ascii="Times New Roman" w:eastAsia="Times New Roman" w:hAnsi="Times New Roman" w:cs="Times New Roman"/>
          <w:color w:val="000000"/>
          <w:sz w:val="24"/>
          <w:szCs w:val="20"/>
          <w:lang w:eastAsia="pl-PL"/>
        </w:rPr>
        <w:t>,</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 xml:space="preserve">wielokrotnych w stosunku do zamówionych długości dokładnych poniżej </w:t>
      </w:r>
      <w:smartTag w:uri="urn:schemas-microsoft-com:office:smarttags" w:element="metricconverter">
        <w:smartTagPr>
          <w:attr w:name="ProductID" w:val="3 m"/>
        </w:smartTagPr>
        <w:r w:rsidRPr="00DC390B">
          <w:rPr>
            <w:rFonts w:ascii="Times New Roman" w:eastAsia="Times New Roman" w:hAnsi="Times New Roman" w:cs="Times New Roman"/>
            <w:color w:val="000000"/>
            <w:sz w:val="24"/>
            <w:szCs w:val="20"/>
            <w:lang w:eastAsia="pl-PL"/>
          </w:rPr>
          <w:t>3 m</w:t>
        </w:r>
      </w:smartTag>
      <w:r w:rsidRPr="00DC390B">
        <w:rPr>
          <w:rFonts w:ascii="Times New Roman" w:eastAsia="Times New Roman" w:hAnsi="Times New Roman" w:cs="Times New Roman"/>
          <w:color w:val="000000"/>
          <w:sz w:val="24"/>
          <w:szCs w:val="20"/>
          <w:lang w:eastAsia="pl-PL"/>
        </w:rPr>
        <w:t xml:space="preserve"> z naddatkiem </w:t>
      </w:r>
      <w:smartTag w:uri="urn:schemas-microsoft-com:office:smarttags" w:element="metricconverter">
        <w:smartTagPr>
          <w:attr w:name="ProductID" w:val="5 mm"/>
        </w:smartTagPr>
        <w:r w:rsidRPr="00DC390B">
          <w:rPr>
            <w:rFonts w:ascii="Times New Roman" w:eastAsia="Times New Roman" w:hAnsi="Times New Roman" w:cs="Times New Roman"/>
            <w:color w:val="000000"/>
            <w:sz w:val="24"/>
            <w:szCs w:val="20"/>
            <w:lang w:eastAsia="pl-PL"/>
          </w:rPr>
          <w:t>5 mm</w:t>
        </w:r>
      </w:smartTag>
      <w:r w:rsidRPr="00DC390B">
        <w:rPr>
          <w:rFonts w:ascii="Times New Roman" w:eastAsia="Times New Roman" w:hAnsi="Times New Roman" w:cs="Times New Roman"/>
          <w:color w:val="000000"/>
          <w:sz w:val="24"/>
          <w:szCs w:val="20"/>
          <w:lang w:eastAsia="pl-PL"/>
        </w:rPr>
        <w:t xml:space="preserve"> na każde cięcie i z dopuszczalną odchyłką dla całej długości wielokrotnej</w:t>
      </w:r>
      <w:r w:rsidRPr="00DC390B">
        <w:rPr>
          <w:rFonts w:ascii="Times New Roman" w:eastAsia="Times New Roman" w:hAnsi="Times New Roman" w:cs="Times New Roman"/>
          <w:sz w:val="24"/>
          <w:szCs w:val="20"/>
          <w:lang w:eastAsia="pl-PL"/>
        </w:rPr>
        <w:t>, jak dla długości dokładnych.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na </w:t>
      </w:r>
      <w:smartTag w:uri="urn:schemas-microsoft-com:office:smarttags" w:element="metricconverter">
        <w:smartTagPr>
          <w:attr w:name="ProductID" w:val="1 m"/>
        </w:smartTagPr>
        <w:r w:rsidRPr="00DC390B">
          <w:rPr>
            <w:rFonts w:ascii="Times New Roman" w:eastAsia="Times New Roman" w:hAnsi="Times New Roman" w:cs="Times New Roman"/>
            <w:sz w:val="24"/>
            <w:szCs w:val="20"/>
            <w:lang w:eastAsia="pl-PL"/>
          </w:rPr>
          <w:t>1 m</w:t>
        </w:r>
      </w:smartTag>
      <w:r w:rsidRPr="00DC390B">
        <w:rPr>
          <w:rFonts w:ascii="Times New Roman" w:eastAsia="Times New Roman" w:hAnsi="Times New Roman" w:cs="Times New Roman"/>
          <w:sz w:val="24"/>
          <w:szCs w:val="20"/>
          <w:lang w:eastAsia="pl-PL"/>
        </w:rPr>
        <w:t xml:space="preserve"> długości rury.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Rury powinny być wykonane ze stali spełniającej wymaganie odporności na zginanie zapewniające wytrzymałość znaku na chwilowe odkształcenie zginające ≤ 25 mm/m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Długości słupków, na których montowane są znaki przyjmowane są w oparciu o wymagania techniczne dla znaków drogowych [19] przy zagłębieniu w gruncie do 80 cm. W części dolnej słupka powinna być kotwa, która po zabetonowaniu uniemożliwia obracanie </w:t>
      </w:r>
      <w:r w:rsidRPr="00DC390B">
        <w:rPr>
          <w:rFonts w:ascii="Times New Roman" w:eastAsia="Times New Roman" w:hAnsi="Times New Roman" w:cs="Times New Roman"/>
          <w:sz w:val="24"/>
          <w:szCs w:val="20"/>
          <w:lang w:eastAsia="pl-PL"/>
        </w:rPr>
        <w:lastRenderedPageBreak/>
        <w:t>lub wyciągnięcie słupka. Na każdym słupku należy zamontować zaślepkę zapobiegającą gromadzeniu się wody wewnątrz profilu.</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2.5.3. </w:t>
      </w:r>
      <w:r w:rsidRPr="00DC390B">
        <w:rPr>
          <w:rFonts w:ascii="Times New Roman" w:eastAsia="Times New Roman" w:hAnsi="Times New Roman" w:cs="Times New Roman"/>
          <w:sz w:val="24"/>
          <w:szCs w:val="20"/>
          <w:lang w:eastAsia="pl-PL"/>
        </w:rPr>
        <w:t>Kształtowniki</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zamocowania tarczy znaku do konstrukcji wsporczej stosowane są dwie metody:</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bezpośrednia i</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pośrednia.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Elementem bezpośrednio zamontowanym do słupka konstrukcji wsporczej jest uchwyt mocujący tarczę znaku drogowego. W metodzie bezpośredniej uchwyt mocujący jest zaczepiony do górnego i dolnego zagięcia obwodowego tarczy znaku.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DC390B">
        <w:rPr>
          <w:rFonts w:ascii="Times New Roman" w:eastAsia="Times New Roman" w:hAnsi="Times New Roman" w:cs="Times New Roman"/>
          <w:sz w:val="24"/>
          <w:szCs w:val="20"/>
          <w:lang w:eastAsia="pl-PL"/>
        </w:rPr>
        <w:tab/>
        <w:t>Uchwyty mocujące tarczę znaku do konstrukcji wsporczej powinny wykazywać odporność tarczy na obrócenie co najmniej 0,29° m</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 klasa TDT4 oraz odporność na obciążenie skupione 0,3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 klasa PL2 [1]. </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2.5.4. </w:t>
      </w:r>
      <w:r w:rsidRPr="00DC390B">
        <w:rPr>
          <w:rFonts w:ascii="Times New Roman" w:eastAsia="Times New Roman" w:hAnsi="Times New Roman" w:cs="Times New Roman"/>
          <w:sz w:val="24"/>
          <w:szCs w:val="20"/>
          <w:lang w:eastAsia="pl-PL"/>
        </w:rPr>
        <w:t>Gwarancja producenta lub dostawcy na konstrukcję wsporczą</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2.6. Tarcza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2.6.1. </w:t>
      </w:r>
      <w:r w:rsidRPr="00DC390B">
        <w:rPr>
          <w:rFonts w:ascii="Times New Roman" w:eastAsia="Times New Roman" w:hAnsi="Times New Roman" w:cs="Times New Roman"/>
          <w:sz w:val="24"/>
          <w:szCs w:val="20"/>
          <w:lang w:eastAsia="pl-PL"/>
        </w:rPr>
        <w:t>Materiały na tarcze znaków drogowych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drogowych pionowych o powierzchni ≤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powinny być wykonane:</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z blachy stalowej ocynkowanej ogniowo o grubości co najmniej 1,25 mm wg PN-EN 10346:2011 [7], gatunek stali co najmniej DX52D z powłoką cynkową co najmniej Z275, </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1,5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kompozytowego profilowanego.</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tarcza znaku o powierzchni &gt; 1 m</w:t>
      </w:r>
      <w:r w:rsidRPr="00DC390B">
        <w:rPr>
          <w:rFonts w:ascii="Times New Roman" w:eastAsia="Times New Roman" w:hAnsi="Times New Roman" w:cs="Times New Roman"/>
          <w:color w:val="000000"/>
          <w:sz w:val="24"/>
          <w:szCs w:val="20"/>
          <w:vertAlign w:val="superscript"/>
          <w:lang w:eastAsia="pl-PL"/>
        </w:rPr>
        <w:t>2</w:t>
      </w:r>
      <w:r w:rsidRPr="00DC390B">
        <w:rPr>
          <w:rFonts w:ascii="Times New Roman" w:eastAsia="Times New Roman" w:hAnsi="Times New Roman" w:cs="Times New Roman"/>
          <w:color w:val="000000"/>
          <w:sz w:val="24"/>
          <w:szCs w:val="20"/>
          <w:lang w:eastAsia="pl-PL"/>
        </w:rPr>
        <w:t xml:space="preserve"> powinna być wykonana: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stalowej ocynkowanej ogniowo o grubości co najmniej 1,5 mm wg PN-EN 10346:2011 [7], gatunek stali co najmniej DX52D z powłoką cynkową co najmniej Z275,</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2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ab/>
        <w:t>Do oznakowania tymczasowego dopuszcza się stosowanie materiałów z tworzyw</w:t>
      </w:r>
      <w:r w:rsidRPr="00DC390B">
        <w:rPr>
          <w:rFonts w:ascii="Times New Roman" w:eastAsia="Times New Roman" w:hAnsi="Times New Roman" w:cs="Times New Roman"/>
          <w:sz w:val="24"/>
          <w:szCs w:val="20"/>
          <w:lang w:eastAsia="pl-PL"/>
        </w:rPr>
        <w:t xml:space="preserve"> sztucznych, w tym znaków miękkich zwijanych.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Tarcze znaków, niezależnie od wielkości powierzchni, mogą być wykonane z płyty o konstrukcji warstwowej zbudowanej z dwóch płaskich blach stalowych o grubości min. 0,5 mm, z powłoką cynkową, co najmniej 225 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pokrytych od strony zewnętrznej ochronną powłoka lakierniczą o grubości min. 25 µm oraz z płyty styropianowej w gatunku min. EPS 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w:t>
      </w:r>
      <w:r w:rsidRPr="00DC390B">
        <w:rPr>
          <w:rFonts w:ascii="Times New Roman" w:eastAsia="Times New Roman" w:hAnsi="Times New Roman" w:cs="Times New Roman"/>
          <w:sz w:val="24"/>
          <w:szCs w:val="20"/>
          <w:lang w:eastAsia="pl-PL"/>
        </w:rPr>
        <w:sym w:font="Symbol" w:char="F06D"/>
      </w:r>
      <w:r w:rsidRPr="00DC390B">
        <w:rPr>
          <w:rFonts w:ascii="Times New Roman" w:eastAsia="Times New Roman" w:hAnsi="Times New Roman" w:cs="Times New Roman"/>
          <w:sz w:val="24"/>
          <w:szCs w:val="20"/>
          <w:lang w:eastAsia="pl-PL"/>
        </w:rPr>
        <w:t>m (275 g Zn/m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 jednej stronie blachy.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powłoki powinna być ciągła i jednorodna pod względem ziarnistości. Nie może ona wykazywać widocznych wad jak rysy, pęknięcia, pęcherze lub odstawanie powłoki od podłoża.</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i tablice powinny spełniać następujące wymagania podane w tablicy 1.</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1.Wymagania dla znaków i tarcz znaków drogowych</w:t>
      </w:r>
    </w:p>
    <w:tbl>
      <w:tblPr>
        <w:tblW w:w="8623" w:type="dxa"/>
        <w:jc w:val="center"/>
        <w:tblInd w:w="-4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DC390B" w:rsidRPr="00DC390B" w:rsidTr="00E75F6D">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Parametr</w:t>
            </w:r>
          </w:p>
        </w:tc>
        <w:tc>
          <w:tcPr>
            <w:tcW w:w="1275"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Jednostka</w:t>
            </w:r>
          </w:p>
        </w:tc>
        <w:tc>
          <w:tcPr>
            <w:tcW w:w="2694"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Wymaganie</w:t>
            </w:r>
          </w:p>
        </w:tc>
        <w:tc>
          <w:tcPr>
            <w:tcW w:w="1811"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wg</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PN-EN 12899-1: 2010 [1]</w:t>
            </w:r>
          </w:p>
        </w:tc>
      </w:tr>
      <w:tr w:rsidR="00DC390B" w:rsidRPr="00DC390B" w:rsidTr="00E75F6D">
        <w:trPr>
          <w:jc w:val="center"/>
        </w:trPr>
        <w:tc>
          <w:tcPr>
            <w:tcW w:w="2843"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Wytrzymałość na </w:t>
            </w:r>
            <w:proofErr w:type="spellStart"/>
            <w:r w:rsidRPr="00DC390B">
              <w:rPr>
                <w:rFonts w:ascii="Times New Roman" w:eastAsia="Times New Roman" w:hAnsi="Times New Roman" w:cs="Times New Roman"/>
                <w:sz w:val="24"/>
                <w:szCs w:val="20"/>
                <w:lang w:eastAsia="pl-PL"/>
              </w:rPr>
              <w:t>obciąże</w:t>
            </w:r>
            <w:proofErr w:type="spellEnd"/>
            <w:r w:rsidRPr="00DC390B">
              <w:rPr>
                <w:rFonts w:ascii="Times New Roman" w:eastAsia="Times New Roman" w:hAnsi="Times New Roman" w:cs="Times New Roman"/>
                <w:sz w:val="24"/>
                <w:szCs w:val="20"/>
                <w:lang w:eastAsia="pl-PL"/>
              </w:rPr>
              <w:t>-nie siłą naporu wiatru</w:t>
            </w:r>
          </w:p>
        </w:tc>
        <w:tc>
          <w:tcPr>
            <w:tcW w:w="1275"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US" w:eastAsia="pl-PL"/>
              </w:rPr>
              <w:t>kN</w:t>
            </w:r>
            <w:proofErr w:type="spellEnd"/>
            <w:r w:rsidRPr="00DC390B">
              <w:rPr>
                <w:rFonts w:ascii="Times New Roman" w:eastAsia="Times New Roman" w:hAnsi="Times New Roman" w:cs="Times New Roman"/>
                <w:sz w:val="24"/>
                <w:szCs w:val="20"/>
                <w:lang w:val="en-US" w:eastAsia="pl-PL"/>
              </w:rPr>
              <w:t xml:space="preserve"> m</w:t>
            </w:r>
            <w:r w:rsidRPr="00DC390B">
              <w:rPr>
                <w:rFonts w:ascii="Times New Roman" w:eastAsia="Times New Roman" w:hAnsi="Times New Roman" w:cs="Times New Roman"/>
                <w:sz w:val="24"/>
                <w:szCs w:val="20"/>
                <w:vertAlign w:val="superscript"/>
                <w:lang w:val="en-US" w:eastAsia="pl-PL"/>
              </w:rPr>
              <w:t>-2</w:t>
            </w:r>
          </w:p>
        </w:tc>
        <w:tc>
          <w:tcPr>
            <w:tcW w:w="2694"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val="en-US" w:eastAsia="pl-PL"/>
              </w:rPr>
              <w:t xml:space="preserve"> 0,60</w:t>
            </w:r>
          </w:p>
        </w:tc>
        <w:tc>
          <w:tcPr>
            <w:tcW w:w="1811"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WL2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kN</w:t>
            </w:r>
            <w:proofErr w:type="spellEnd"/>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eastAsia="pl-PL"/>
              </w:rPr>
              <w:t xml:space="preserve"> 0,50</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mm/m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val="en-US" w:eastAsia="pl-PL"/>
              </w:rPr>
              <w:t xml:space="preserve"> 25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TDB4</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vertAlign w:val="superscript"/>
                <w:lang w:eastAsia="pl-PL"/>
              </w:rPr>
            </w:pPr>
            <w:r w:rsidRPr="00DC390B">
              <w:rPr>
                <w:rFonts w:ascii="Times New Roman" w:eastAsia="Times New Roman" w:hAnsi="Times New Roman" w:cs="Times New Roman"/>
                <w:sz w:val="24"/>
                <w:szCs w:val="24"/>
                <w:lang w:eastAsia="pl-PL"/>
              </w:rPr>
              <w:t xml:space="preserve">stopień </w:t>
            </w:r>
            <w:r w:rsidRPr="00DC390B">
              <w:rPr>
                <w:rFonts w:ascii="Times New Roman" w:eastAsia="Times New Roman" w:hAnsi="Times New Roman" w:cs="Times New Roman"/>
                <w:sz w:val="24"/>
                <w:szCs w:val="24"/>
                <w:lang w:eastAsia="pl-PL"/>
              </w:rPr>
              <w:sym w:font="Symbol" w:char="F0D7"/>
            </w:r>
            <w:r w:rsidRPr="00DC390B">
              <w:rPr>
                <w:rFonts w:ascii="Times New Roman" w:eastAsia="Times New Roman" w:hAnsi="Times New Roman" w:cs="Times New Roman"/>
                <w:sz w:val="24"/>
                <w:szCs w:val="24"/>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0,02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0,57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1,15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TDT6</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Odkształcenie trwałe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mm/m  lub stopień </w:t>
            </w:r>
            <w:r w:rsidRPr="00DC390B">
              <w:rPr>
                <w:rFonts w:ascii="Times New Roman" w:eastAsia="Times New Roman" w:hAnsi="Times New Roman" w:cs="Times New Roman"/>
                <w:sz w:val="24"/>
                <w:szCs w:val="20"/>
                <w:lang w:eastAsia="pl-PL"/>
              </w:rPr>
              <w:sym w:font="Symbol" w:char="F0D7"/>
            </w:r>
            <w:r w:rsidRPr="00DC390B">
              <w:rPr>
                <w:rFonts w:ascii="Times New Roman" w:eastAsia="Times New Roman" w:hAnsi="Times New Roman" w:cs="Times New Roman"/>
                <w:sz w:val="24"/>
                <w:szCs w:val="20"/>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 odkształcenia chwilowego</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krawędzi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P3</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Odporność na uderzenie kuli o masie 450 g i promieniu kontaktu 50 mm, upuszczonej </w:t>
            </w:r>
          </w:p>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lastRenderedPageBreak/>
              <w:t>z wysokości 220 mm</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Uderzenie nie powinno spowodować pęknięć lub </w:t>
            </w:r>
            <w:proofErr w:type="spellStart"/>
            <w:r w:rsidRPr="00DC390B">
              <w:rPr>
                <w:rFonts w:ascii="Times New Roman" w:eastAsia="Times New Roman" w:hAnsi="Times New Roman" w:cs="Times New Roman"/>
                <w:sz w:val="24"/>
                <w:szCs w:val="24"/>
                <w:lang w:eastAsia="pl-PL"/>
              </w:rPr>
              <w:t>delaminacji</w:t>
            </w:r>
            <w:proofErr w:type="spellEnd"/>
            <w:r w:rsidRPr="00DC390B">
              <w:rPr>
                <w:rFonts w:ascii="Times New Roman" w:eastAsia="Times New Roman" w:hAnsi="Times New Roman" w:cs="Times New Roman"/>
                <w:sz w:val="24"/>
                <w:szCs w:val="24"/>
                <w:lang w:eastAsia="pl-PL"/>
              </w:rPr>
              <w:t xml:space="preserve"> folii od pod-łoża w odległości 6 mm </w:t>
            </w:r>
            <w:r w:rsidRPr="00DC390B">
              <w:rPr>
                <w:rFonts w:ascii="Times New Roman" w:eastAsia="Times New Roman" w:hAnsi="Times New Roman" w:cs="Times New Roman"/>
                <w:sz w:val="24"/>
                <w:szCs w:val="24"/>
                <w:lang w:eastAsia="pl-PL"/>
              </w:rPr>
              <w:lastRenderedPageBreak/>
              <w:t>od punktu uderzenia kuli jako środka</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lastRenderedPageBreak/>
              <w:t>Badanie trwałości na wpływ warunków pogodowych</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Po trzech latach badań pogodowych zgodnie z PN-EN 12899-1, należy sprawdzić zgodność współrzędnych chroma-tyczności i współczynnika luminancji z wymagania-mi klasy CR2. Współczynnik odblasku, zmierzony pod kątem obserwacji </w:t>
            </w:r>
            <w:r w:rsidRPr="00DC390B">
              <w:rPr>
                <w:rFonts w:ascii="Times New Roman" w:eastAsia="Times New Roman" w:hAnsi="Times New Roman" w:cs="Times New Roman"/>
                <w:sz w:val="20"/>
                <w:szCs w:val="20"/>
                <w:lang w:eastAsia="pl-PL"/>
              </w:rPr>
              <w:sym w:font="Symbol" w:char="0061"/>
            </w:r>
            <w:r w:rsidRPr="00DC390B">
              <w:rPr>
                <w:rFonts w:ascii="Times New Roman" w:eastAsia="Times New Roman" w:hAnsi="Times New Roman" w:cs="Times New Roman"/>
                <w:sz w:val="20"/>
                <w:szCs w:val="20"/>
                <w:lang w:eastAsia="pl-PL"/>
              </w:rPr>
              <w:t xml:space="preserve"> = 20’ dla kątów oświetlenia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1</w:t>
            </w:r>
            <w:r w:rsidRPr="00DC390B">
              <w:rPr>
                <w:rFonts w:ascii="Times New Roman" w:eastAsia="Times New Roman" w:hAnsi="Times New Roman" w:cs="Times New Roman"/>
                <w:sz w:val="20"/>
                <w:szCs w:val="20"/>
                <w:lang w:eastAsia="pl-PL"/>
              </w:rPr>
              <w:t xml:space="preserve"> = 5</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i 30</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oraz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2</w:t>
            </w:r>
            <w:r w:rsidRPr="00DC390B">
              <w:rPr>
                <w:rFonts w:ascii="Times New Roman" w:eastAsia="Times New Roman" w:hAnsi="Times New Roman" w:cs="Times New Roman"/>
                <w:sz w:val="20"/>
                <w:szCs w:val="20"/>
                <w:lang w:eastAsia="pl-PL"/>
              </w:rPr>
              <w:t xml:space="preserve"> = 0</w:t>
            </w:r>
            <w:r w:rsidRPr="00DC390B">
              <w:rPr>
                <w:rFonts w:ascii="Times New Roman" w:eastAsia="Times New Roman" w:hAnsi="Times New Roman" w:cs="Times New Roman"/>
                <w:sz w:val="20"/>
                <w:szCs w:val="20"/>
                <w:vertAlign w:val="superscript"/>
                <w:lang w:eastAsia="pl-PL"/>
              </w:rPr>
              <w:t xml:space="preserve">o </w:t>
            </w:r>
            <w:r w:rsidRPr="00DC390B">
              <w:rPr>
                <w:rFonts w:ascii="Times New Roman" w:eastAsia="Times New Roman" w:hAnsi="Times New Roman" w:cs="Times New Roman"/>
                <w:sz w:val="20"/>
                <w:szCs w:val="20"/>
                <w:lang w:eastAsia="pl-PL"/>
              </w:rPr>
              <w:t>, powinien być nie mniej-</w:t>
            </w:r>
            <w:proofErr w:type="spellStart"/>
            <w:r w:rsidRPr="00DC390B">
              <w:rPr>
                <w:rFonts w:ascii="Times New Roman" w:eastAsia="Times New Roman" w:hAnsi="Times New Roman" w:cs="Times New Roman"/>
                <w:sz w:val="20"/>
                <w:szCs w:val="20"/>
                <w:lang w:eastAsia="pl-PL"/>
              </w:rPr>
              <w:t>szy</w:t>
            </w:r>
            <w:proofErr w:type="spellEnd"/>
            <w:r w:rsidRPr="00DC390B">
              <w:rPr>
                <w:rFonts w:ascii="Times New Roman" w:eastAsia="Times New Roman" w:hAnsi="Times New Roman" w:cs="Times New Roman"/>
                <w:sz w:val="20"/>
                <w:szCs w:val="20"/>
                <w:lang w:eastAsia="pl-PL"/>
              </w:rPr>
              <w:t xml:space="preserve"> niż 80 % wartości podanych odpowiednio w [16] i w tab.2, 3, 4 i 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8623" w:type="dxa"/>
            <w:gridSpan w:val="4"/>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ind w:left="132" w:hanging="13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sz w:val="20"/>
                <w:szCs w:val="20"/>
                <w:lang w:eastAsia="pl-PL"/>
              </w:rPr>
              <w:t>klasę TDT1 stosuje się dla tablic na konstrukcjach bramowych, klasę TDT3 dla tablic na 2 lub więcej podporach, klasę TDT 5 dla tablic na jednej podporze, klasę TDT6 dla tablic na konstrukcjach wysięgnikowych</w:t>
            </w: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przypadku strefy wiatrowej I przeważającej na obszarze kraju do obliczeń konstrukcyjnych należy przyjmować klasę wytrzymałości na obciążenie siłą naporu wiatru WL2 wg [1], co odpowiada obciążeniu siłą naporu wiatru </w:t>
      </w:r>
      <w:r w:rsidRPr="00DC390B">
        <w:rPr>
          <w:rFonts w:ascii="Times New Roman" w:eastAsia="Times New Roman" w:hAnsi="Times New Roman" w:cs="Times New Roman"/>
          <w:sz w:val="24"/>
          <w:szCs w:val="20"/>
          <w:lang w:val="en-US" w:eastAsia="pl-PL"/>
        </w:rPr>
        <w:sym w:font="Symbol" w:char="00B3"/>
      </w:r>
      <w:r w:rsidRPr="00DC390B">
        <w:rPr>
          <w:rFonts w:ascii="Times New Roman" w:eastAsia="Times New Roman" w:hAnsi="Times New Roman" w:cs="Times New Roman"/>
          <w:sz w:val="24"/>
          <w:szCs w:val="20"/>
          <w:lang w:eastAsia="pl-PL"/>
        </w:rPr>
        <w:t xml:space="preserve"> 0,60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Do badań laboratoryjnych ugięcia znaku zaleca się przyjmować odpowiadające tej klasie po uwzględnieniu współczynników korygujących, obciążenie 68 kg/m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Jako wymaganie przyjęto, że chwilowe odkształcenie zginające, zarówno znak, jak i samą tarczę znaku nie może być większe niż 25 mm/m (klasa TDB4).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2.6.2. </w:t>
      </w:r>
      <w:r w:rsidRPr="00DC390B">
        <w:rPr>
          <w:rFonts w:ascii="Times New Roman" w:eastAsia="Times New Roman" w:hAnsi="Times New Roman" w:cs="Times New Roman"/>
          <w:sz w:val="24"/>
          <w:szCs w:val="20"/>
          <w:lang w:eastAsia="pl-PL"/>
        </w:rPr>
        <w:t>Warunki wykonania tarczy znaku</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Tarcze znaków powinny spełniać także następujące wymagania:</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włącznie z narożnikami lub przez zamocowanie odpowiedniego profilu na całym obwodzie znaku, </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powierzchnia czołowa tarczy znaku powinna być równa – bez wgięć, pofałdowań i otworów montażowych. Dopuszczalna nierówność wynosi 1 mm/m,</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odwrotną stronę tarczy, jeżeli jest wykorzystywana do umieszczenia znaku dla jadących z przeciwnego kierunku, także należy zabezpieczyć powłoką lakierniczą w kolorze szarym zbliżonym do RAL 7037.</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Tarcze znaków i tablic o powierzchni &gt; </w:t>
      </w:r>
      <w:smartTag w:uri="urn:schemas-microsoft-com:office:smarttags" w:element="metricconverter">
        <w:smartTagPr>
          <w:attr w:name="ProductID" w:val="1 m2"/>
        </w:smartTagPr>
        <w:r w:rsidRPr="00DC390B">
          <w:rPr>
            <w:rFonts w:ascii="Times New Roman" w:eastAsia="Times New Roman" w:hAnsi="Times New Roman" w:cs="Times New Roman"/>
            <w:sz w:val="24"/>
            <w:szCs w:val="20"/>
            <w:lang w:eastAsia="pl-PL"/>
          </w:rPr>
          <w:t>1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vertAlign w:val="superscript"/>
          <w:lang w:eastAsia="pl-PL"/>
        </w:rPr>
        <w:t xml:space="preserve"> </w:t>
      </w:r>
      <w:r w:rsidRPr="00DC390B">
        <w:rPr>
          <w:rFonts w:ascii="Times New Roman" w:eastAsia="Times New Roman" w:hAnsi="Times New Roman" w:cs="Times New Roman"/>
          <w:sz w:val="24"/>
          <w:szCs w:val="20"/>
          <w:lang w:eastAsia="pl-PL"/>
        </w:rPr>
        <w:t>powinny spełniać dodatkowo następujące wymagania:</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narożniki znaku i tablicy powinny być zaokrąglone, o promieniu zgodnym z wymaganiami określonymi w załączniku nr 1 do rozporządzenia Ministra Infrastruktury z dnia 3 lipca 2003 r. [19] nie mniejszym jednak niż </w:t>
      </w:r>
      <w:smartTag w:uri="urn:schemas-microsoft-com:office:smarttags" w:element="metricconverter">
        <w:smartTagPr>
          <w:attr w:name="ProductID" w:val="30 mm"/>
        </w:smartTagPr>
        <w:r w:rsidRPr="00DC390B">
          <w:rPr>
            <w:rFonts w:ascii="Times New Roman" w:eastAsia="Times New Roman" w:hAnsi="Times New Roman" w:cs="Times New Roman"/>
            <w:sz w:val="24"/>
            <w:szCs w:val="20"/>
            <w:lang w:eastAsia="pl-PL"/>
          </w:rPr>
          <w:t>30 mm</w:t>
        </w:r>
      </w:smartTag>
      <w:r w:rsidRPr="00DC390B">
        <w:rPr>
          <w:rFonts w:ascii="Times New Roman" w:eastAsia="Times New Roman" w:hAnsi="Times New Roman" w:cs="Times New Roman"/>
          <w:sz w:val="24"/>
          <w:szCs w:val="20"/>
          <w:lang w:eastAsia="pl-PL"/>
        </w:rPr>
        <w:t>, gdy wielkości tego promienia nie wskazano,</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łączenie poszczególnych segmentów tarczy (dla znaków wielkopowierzchniowych) wzdłuż poziomej lub pionowej krawędzi  powinno być wykonane w taki sposób, aby nie występowały przesunięcia i prześwity w miejscach ich łączenia.</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
          <w:bCs/>
          <w:sz w:val="24"/>
          <w:szCs w:val="20"/>
          <w:lang w:eastAsia="pl-PL"/>
        </w:rPr>
        <w:t xml:space="preserve">2.6.3  </w:t>
      </w:r>
      <w:r w:rsidRPr="00DC390B">
        <w:rPr>
          <w:rFonts w:ascii="Times New Roman" w:eastAsia="Times New Roman" w:hAnsi="Times New Roman" w:cs="Times New Roman"/>
          <w:bCs/>
          <w:sz w:val="24"/>
          <w:szCs w:val="20"/>
          <w:lang w:eastAsia="pl-PL"/>
        </w:rPr>
        <w:t>Tolerancje wymiarowe znaków drogowych</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2.6.3.1.</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blach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śrubą mikrometryczną:</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blachy stalowej ocynkowanej ogniowo o gr. 1,25 -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4 mm"/>
        </w:smartTagPr>
        <w:r w:rsidRPr="00DC390B">
          <w:rPr>
            <w:rFonts w:ascii="Times New Roman" w:eastAsia="Times New Roman" w:hAnsi="Times New Roman" w:cs="Times New Roman"/>
            <w:sz w:val="24"/>
            <w:szCs w:val="20"/>
            <w:lang w:eastAsia="pl-PL"/>
          </w:rPr>
          <w:t>0,14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 aluminiowych o gr. 1,5 -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0 mm"/>
        </w:smartTagPr>
        <w:r w:rsidRPr="00DC390B">
          <w:rPr>
            <w:rFonts w:ascii="Times New Roman" w:eastAsia="Times New Roman" w:hAnsi="Times New Roman" w:cs="Times New Roman"/>
            <w:sz w:val="24"/>
            <w:szCs w:val="20"/>
            <w:lang w:eastAsia="pl-PL"/>
          </w:rPr>
          <w:t>0,10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2.6.3.2.</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powłok malarskich</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sz w:val="24"/>
          <w:szCs w:val="20"/>
          <w:lang w:eastAsia="pl-PL"/>
        </w:rPr>
        <w:t xml:space="preserve">Dla powłoki lakierniczej na tylnej powierzchni tarczy znaku dopuszczalna tolerancja powinna wynosić od 40 µm do 80 µm. </w:t>
      </w:r>
      <w:r w:rsidRPr="00DC390B">
        <w:rPr>
          <w:rFonts w:ascii="Times New Roman" w:eastAsia="Times New Roman" w:hAnsi="Times New Roman" w:cs="Times New Roman"/>
          <w:bCs/>
          <w:sz w:val="24"/>
          <w:szCs w:val="20"/>
          <w:lang w:eastAsia="pl-PL"/>
        </w:rPr>
        <w:t>Sprawdzenie wg PN-EN ISO 2808 [12].</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2.6.3.3.</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płaskości powierzchni</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Odchylenia od </w:t>
      </w:r>
      <w:r w:rsidRPr="00DC390B">
        <w:rPr>
          <w:rFonts w:ascii="Times New Roman" w:eastAsia="Times New Roman" w:hAnsi="Times New Roman" w:cs="Times New Roman"/>
          <w:bCs/>
          <w:sz w:val="24"/>
          <w:szCs w:val="20"/>
          <w:lang w:eastAsia="pl-PL"/>
        </w:rPr>
        <w:t xml:space="preserve">płaskości </w:t>
      </w:r>
      <w:r w:rsidRPr="00DC390B">
        <w:rPr>
          <w:rFonts w:ascii="Times New Roman" w:eastAsia="Times New Roman" w:hAnsi="Times New Roman" w:cs="Times New Roman"/>
          <w:sz w:val="24"/>
          <w:szCs w:val="20"/>
          <w:lang w:eastAsia="pl-PL"/>
        </w:rPr>
        <w:t>nie mogą wynieść więcej niż 0,5%. Sprawdzenie można wykonać z użyciem poziomnicy i szczelinomierza.</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2.6.3.4.</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tarcz znaków</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przymiarem liniowym:</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o powierzchni &lt;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należy powiększyć 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5 mm"/>
        </w:smartTagPr>
        <w:r w:rsidRPr="00DC390B">
          <w:rPr>
            <w:rFonts w:ascii="Times New Roman" w:eastAsia="Times New Roman" w:hAnsi="Times New Roman" w:cs="Times New Roman"/>
            <w:sz w:val="24"/>
            <w:szCs w:val="20"/>
            <w:lang w:eastAsia="pl-PL"/>
          </w:rPr>
          <w:t>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i tablic o powierzchni &gt;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oraz  wymiary wynikowe dla tablic grupy E należy powiększyć o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2.7. Znaki odblaskowe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2.7.1. </w:t>
      </w:r>
      <w:r w:rsidRPr="00DC390B">
        <w:rPr>
          <w:rFonts w:ascii="Times New Roman" w:eastAsia="Times New Roman" w:hAnsi="Times New Roman" w:cs="Times New Roman"/>
          <w:sz w:val="24"/>
          <w:szCs w:val="20"/>
          <w:lang w:eastAsia="pl-PL"/>
        </w:rPr>
        <w:t>Wymagania dotyczące powierzchni odblaskowej</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nie są dopuszczone do stosowania na drogach publicznych.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odblaskowa (odbijająca powrotnie) powinna spełniać wymagania określone w niniejszej OST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Lico znaku należy wykonać z samoprzylepnej folii odblaskowej (kulkowej) typu 1, typu 2 lub z folii </w:t>
      </w:r>
      <w:proofErr w:type="spellStart"/>
      <w:r w:rsidRPr="00DC390B">
        <w:rPr>
          <w:rFonts w:ascii="Times New Roman" w:eastAsia="Times New Roman" w:hAnsi="Times New Roman" w:cs="Times New Roman"/>
          <w:sz w:val="24"/>
          <w:szCs w:val="20"/>
          <w:lang w:eastAsia="pl-PL"/>
        </w:rPr>
        <w:t>mikropryzmatycznej</w:t>
      </w:r>
      <w:proofErr w:type="spellEnd"/>
      <w:r w:rsidRPr="00DC390B">
        <w:rPr>
          <w:rFonts w:ascii="Times New Roman" w:eastAsia="Times New Roman" w:hAnsi="Times New Roman" w:cs="Times New Roman"/>
          <w:sz w:val="24"/>
          <w:szCs w:val="20"/>
          <w:lang w:eastAsia="pl-PL"/>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nanoszenia na lico znaku barw innych niż biała, mogą być stosowane: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odblaskowa folia kulkowa,</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transparentna folia ploterowa ECF,</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transparentny druk sitowy,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transparentny druk cyfrowy.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Widoczność w dzień i w nocy znaków drogowych zależy od właściwości kolorymetrycznych i fotometrycznych folii zastosowanej na lico znaku. Stosowane są w tym celu folie odblaskowe wykonane w technologii kulkowej i pryzmatycznej oraz </w:t>
      </w: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 oznacza folię kulkową spełniającą współczynnik luminancji β i współrzędne chromatyczności określone w klasie CR1 lub CR2 oraz współczynnik odblaskowości w klasie RA1 wg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 oznacza folię kulkową spełniającą współczynnik luminancji β i współrzędne chromatyczności określone w klasie CR1 lub CR2 oraz współczynnik odblaskowości w klasie RA2[1].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1P oznacza folię pryzmatyczną spełniającą współczynnik luminancji β i współrzędne chromatyczności określone w klasie CR1 lub CR2 oraz współczynnik odblaskowości wg tablicy 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2P oznacza folię pryzmatyczną spełniającą współczynnik luminancji β i współrzędne chromatyczności określone w klasie CR1 lub CR2 oraz współczynnik odblaskowości wg tablicy 2.</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3P oznacza folię pryzmatyczną spełniającą współczynnik luminancji β i współrzędne chromatyczności określone w klasie CR1 lub CR2 oraz współczynnik odblaskowości wg tablicy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3FP oznacza folię pryzmatyczną fluorescencyjną spełniającą współczynnik luminancji β i współrzędne chromatyczności określone w klasie CR1 lub CR2 oraz współczynnik odblaskowości wg tablicy 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tablicach 2, 3 i 4 zawarto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 które powinny spełniać folie pryzmatyczne typu 2P, 3P i 3PF.</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2.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2P</w:t>
      </w:r>
    </w:p>
    <w:tbl>
      <w:tblPr>
        <w:tblW w:w="8731" w:type="dxa"/>
        <w:tblInd w:w="113"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DC390B" w:rsidRPr="00DC390B" w:rsidTr="00E75F6D">
        <w:tc>
          <w:tcPr>
            <w:tcW w:w="2777" w:type="dxa"/>
            <w:gridSpan w:val="2"/>
            <w:tcBorders>
              <w:top w:val="single" w:sz="8" w:space="0" w:color="auto"/>
              <w:left w:val="single" w:sz="8" w:space="0" w:color="auto"/>
              <w:bottom w:val="doub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double" w:sz="4" w:space="0" w:color="auto"/>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α</w:t>
            </w:r>
            <w:r w:rsidRPr="00DC390B">
              <w:rPr>
                <w:rFonts w:ascii="Times New Roman" w:eastAsia="Times New Roman" w:hAnsi="Times New Roman" w:cs="Times New Roman"/>
                <w:sz w:val="24"/>
                <w:szCs w:val="20"/>
                <w:lang w:val="en-US" w:eastAsia="pl-PL"/>
              </w:rPr>
              <w:t>[</w:t>
            </w:r>
            <w:r w:rsidRPr="00DC390B">
              <w:rPr>
                <w:rFonts w:ascii="Times New Roman" w:eastAsia="Times New Roman" w:hAnsi="Times New Roman" w:cs="Times New Roman"/>
                <w:sz w:val="24"/>
                <w:szCs w:val="20"/>
                <w:vertAlign w:val="superscript"/>
                <w:lang w:val="en-US" w:eastAsia="pl-PL"/>
              </w:rPr>
              <w:t>o</w:t>
            </w:r>
            <w:r w:rsidRPr="00DC390B">
              <w:rPr>
                <w:rFonts w:ascii="Times New Roman" w:eastAsia="Times New Roman" w:hAnsi="Times New Roman" w:cs="Times New Roman"/>
                <w:sz w:val="24"/>
                <w:szCs w:val="20"/>
                <w:lang w:val="en-US" w:eastAsia="pl-PL"/>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(β2=0</w:t>
            </w:r>
            <w:r w:rsidRPr="00DC390B">
              <w:rPr>
                <w:rFonts w:ascii="Times New Roman" w:eastAsia="Times New Roman" w:hAnsi="Times New Roman" w:cs="Times New Roman"/>
                <w:sz w:val="24"/>
                <w:szCs w:val="20"/>
                <w:vertAlign w:val="superscript"/>
                <w:lang w:eastAsia="pl-PL"/>
              </w:rPr>
              <w:t>°</w:t>
            </w:r>
            <w:r w:rsidRPr="00DC390B">
              <w:rPr>
                <w:rFonts w:ascii="Times New Roman" w:eastAsia="Times New Roman" w:hAnsi="Times New Roman" w:cs="Times New Roman"/>
                <w:sz w:val="24"/>
                <w:szCs w:val="20"/>
                <w:lang w:eastAsia="pl-PL"/>
              </w:rPr>
              <w:t>)</w:t>
            </w:r>
          </w:p>
        </w:tc>
        <w:tc>
          <w:tcPr>
            <w:tcW w:w="993" w:type="dxa"/>
            <w:tcBorders>
              <w:top w:val="double" w:sz="4" w:space="0" w:color="auto"/>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biała</w:t>
            </w:r>
          </w:p>
        </w:tc>
        <w:tc>
          <w:tcPr>
            <w:tcW w:w="850"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żółta</w:t>
            </w:r>
          </w:p>
        </w:tc>
        <w:tc>
          <w:tcPr>
            <w:tcW w:w="992"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czerwo</w:t>
            </w:r>
            <w:proofErr w:type="spellEnd"/>
            <w:r w:rsidRPr="00DC390B">
              <w:rPr>
                <w:rFonts w:ascii="Times New Roman" w:eastAsia="Times New Roman" w:hAnsi="Times New Roman" w:cs="Times New Roman"/>
                <w:sz w:val="24"/>
                <w:szCs w:val="20"/>
                <w:lang w:eastAsia="pl-PL"/>
              </w:rPr>
              <w:t>-na</w:t>
            </w:r>
          </w:p>
        </w:tc>
        <w:tc>
          <w:tcPr>
            <w:tcW w:w="1134"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niebies</w:t>
            </w:r>
            <w:proofErr w:type="spellEnd"/>
            <w:r w:rsidRPr="00DC390B">
              <w:rPr>
                <w:rFonts w:ascii="Times New Roman" w:eastAsia="Times New Roman" w:hAnsi="Times New Roman" w:cs="Times New Roman"/>
                <w:sz w:val="24"/>
                <w:szCs w:val="20"/>
                <w:lang w:eastAsia="pl-PL"/>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zielona</w:t>
            </w:r>
          </w:p>
        </w:tc>
      </w:tr>
      <w:tr w:rsidR="00DC390B" w:rsidRPr="00DC390B" w:rsidTr="00E75F6D">
        <w:tc>
          <w:tcPr>
            <w:tcW w:w="1360" w:type="dxa"/>
            <w:tcBorders>
              <w:top w:val="single" w:sz="4" w:space="0" w:color="auto"/>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auto"/>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tc>
        <w:tc>
          <w:tcPr>
            <w:tcW w:w="850"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tc>
        <w:tc>
          <w:tcPr>
            <w:tcW w:w="992"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tc>
        <w:tc>
          <w:tcPr>
            <w:tcW w:w="1134"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993"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tc>
      </w:tr>
      <w:tr w:rsidR="00DC390B" w:rsidRPr="00DC390B" w:rsidTr="00E75F6D">
        <w:tc>
          <w:tcPr>
            <w:tcW w:w="1360" w:type="dxa"/>
            <w:tcBorders>
              <w:top w:val="single" w:sz="4" w:space="0" w:color="000000"/>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tc>
        <w:tc>
          <w:tcPr>
            <w:tcW w:w="850"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1134"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3"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single" w:sz="4" w:space="0" w:color="000000"/>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850"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2"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1134"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3"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8731" w:type="dxa"/>
            <w:gridSpan w:val="8"/>
            <w:tcBorders>
              <w:top w:val="single" w:sz="4" w:space="0" w:color="auto"/>
              <w:left w:val="single" w:sz="8" w:space="0" w:color="auto"/>
              <w:bottom w:val="single" w:sz="8"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oznacza wartość większą niż zero, ale nieistotną lub nie mającą zastosowania.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3.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DC390B" w:rsidRPr="00DC390B" w:rsidTr="00E75F6D">
        <w:trPr>
          <w:tblHeader/>
        </w:trPr>
        <w:tc>
          <w:tcPr>
            <w:tcW w:w="2835" w:type="dxa"/>
            <w:gridSpan w:val="2"/>
            <w:tcBorders>
              <w:top w:val="single" w:sz="8" w:space="0" w:color="auto"/>
              <w:left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Geometria pomiarów</w:t>
            </w:r>
          </w:p>
        </w:tc>
        <w:tc>
          <w:tcPr>
            <w:tcW w:w="5949" w:type="dxa"/>
            <w:gridSpan w:val="6"/>
            <w:tcBorders>
              <w:top w:val="single" w:sz="8" w:space="0" w:color="auto"/>
              <w:left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Współczynnik odblasku R</w:t>
            </w:r>
            <w:r w:rsidRPr="00DC390B">
              <w:rPr>
                <w:rFonts w:ascii="Times New Roman" w:eastAsia="Times New Roman" w:hAnsi="Times New Roman" w:cs="Times New Roman"/>
                <w:sz w:val="24"/>
                <w:szCs w:val="24"/>
                <w:vertAlign w:val="subscript"/>
                <w:lang w:eastAsia="pl-PL"/>
              </w:rPr>
              <w:t>A</w:t>
            </w:r>
            <w:r w:rsidRPr="00DC390B">
              <w:rPr>
                <w:rFonts w:ascii="Times New Roman" w:eastAsia="Times New Roman" w:hAnsi="Times New Roman" w:cs="Times New Roman"/>
                <w:sz w:val="24"/>
                <w:szCs w:val="24"/>
                <w:lang w:eastAsia="pl-PL"/>
              </w:rPr>
              <w:t xml:space="preserve"> [cd lx</w:t>
            </w:r>
            <w:r w:rsidRPr="00DC390B">
              <w:rPr>
                <w:rFonts w:ascii="Times New Roman" w:eastAsia="Times New Roman" w:hAnsi="Times New Roman" w:cs="Times New Roman"/>
                <w:sz w:val="24"/>
                <w:szCs w:val="24"/>
                <w:vertAlign w:val="superscript"/>
                <w:lang w:eastAsia="pl-PL"/>
              </w:rPr>
              <w:t>-1</w:t>
            </w:r>
            <w:r w:rsidRPr="00DC390B">
              <w:rPr>
                <w:rFonts w:ascii="Times New Roman" w:eastAsia="Times New Roman" w:hAnsi="Times New Roman" w:cs="Times New Roman"/>
                <w:sz w:val="24"/>
                <w:szCs w:val="24"/>
                <w:lang w:eastAsia="pl-PL"/>
              </w:rPr>
              <w:t xml:space="preserve"> 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w:t>
            </w:r>
          </w:p>
        </w:tc>
      </w:tr>
      <w:tr w:rsidR="00DC390B" w:rsidRPr="00DC390B" w:rsidTr="00E75F6D">
        <w:tc>
          <w:tcPr>
            <w:tcW w:w="1418" w:type="dxa"/>
            <w:tcBorders>
              <w:left w:val="single" w:sz="8"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sym w:font="Symbol" w:char="F061"/>
            </w:r>
            <w:r w:rsidRPr="00DC390B">
              <w:rPr>
                <w:rFonts w:ascii="Times New Roman" w:eastAsia="Times New Roman" w:hAnsi="Times New Roman" w:cs="Times New Roman"/>
                <w:sz w:val="24"/>
                <w:szCs w:val="24"/>
                <w:lang w:val="en-US" w:eastAsia="pl-PL"/>
              </w:rPr>
              <w:t>[</w:t>
            </w:r>
            <w:r w:rsidRPr="00DC390B">
              <w:rPr>
                <w:rFonts w:ascii="Times New Roman" w:eastAsia="Times New Roman" w:hAnsi="Times New Roman" w:cs="Times New Roman"/>
                <w:sz w:val="24"/>
                <w:szCs w:val="24"/>
                <w:vertAlign w:val="superscript"/>
                <w:lang w:val="en-US" w:eastAsia="pl-PL"/>
              </w:rPr>
              <w:t>o</w:t>
            </w:r>
            <w:r w:rsidRPr="00DC390B">
              <w:rPr>
                <w:rFonts w:ascii="Times New Roman" w:eastAsia="Times New Roman" w:hAnsi="Times New Roman" w:cs="Times New Roman"/>
                <w:sz w:val="24"/>
                <w:szCs w:val="24"/>
                <w:lang w:val="en-US" w:eastAsia="pl-PL"/>
              </w:rPr>
              <w:t>]</w:t>
            </w:r>
          </w:p>
        </w:tc>
        <w:tc>
          <w:tcPr>
            <w:tcW w:w="1417" w:type="dxa"/>
            <w:tcBorders>
              <w:bottom w:val="doub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t>β</w:t>
            </w:r>
            <w:r w:rsidRPr="00DC390B">
              <w:rPr>
                <w:rFonts w:ascii="Times New Roman" w:eastAsia="Times New Roman" w:hAnsi="Times New Roman" w:cs="Times New Roman"/>
                <w:sz w:val="24"/>
                <w:szCs w:val="24"/>
                <w:lang w:eastAsia="pl-PL"/>
              </w:rPr>
              <w:t xml:space="preserve"> [°]</w:t>
            </w:r>
          </w:p>
        </w:tc>
        <w:tc>
          <w:tcPr>
            <w:tcW w:w="992" w:type="dxa"/>
            <w:tcBorders>
              <w:left w:val="single" w:sz="4"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biała</w:t>
            </w:r>
          </w:p>
        </w:tc>
        <w:tc>
          <w:tcPr>
            <w:tcW w:w="851"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żółta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Folia </w:t>
            </w:r>
            <w:proofErr w:type="spellStart"/>
            <w:r w:rsidRPr="00DC390B">
              <w:rPr>
                <w:rFonts w:ascii="Times New Roman" w:eastAsia="Times New Roman" w:hAnsi="Times New Roman" w:cs="Times New Roman"/>
                <w:sz w:val="24"/>
                <w:szCs w:val="24"/>
                <w:lang w:eastAsia="pl-PL"/>
              </w:rPr>
              <w:t>czerwo</w:t>
            </w:r>
            <w:proofErr w:type="spellEnd"/>
            <w:r w:rsidRPr="00DC390B">
              <w:rPr>
                <w:rFonts w:ascii="Times New Roman" w:eastAsia="Times New Roman" w:hAnsi="Times New Roman" w:cs="Times New Roman"/>
                <w:sz w:val="24"/>
                <w:szCs w:val="24"/>
                <w:lang w:eastAsia="pl-PL"/>
              </w:rPr>
              <w:t>-na</w:t>
            </w:r>
          </w:p>
        </w:tc>
        <w:tc>
          <w:tcPr>
            <w:tcW w:w="1134"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 pomarańczowa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niebies</w:t>
            </w:r>
            <w:proofErr w:type="spellEnd"/>
            <w:r w:rsidRPr="00DC390B">
              <w:rPr>
                <w:rFonts w:ascii="Times New Roman" w:eastAsia="Times New Roman" w:hAnsi="Times New Roman" w:cs="Times New Roman"/>
                <w:sz w:val="24"/>
                <w:szCs w:val="24"/>
                <w:lang w:eastAsia="pl-PL"/>
              </w:rPr>
              <w:t>-ka</w:t>
            </w:r>
          </w:p>
        </w:tc>
        <w:tc>
          <w:tcPr>
            <w:tcW w:w="988" w:type="dxa"/>
            <w:tcBorders>
              <w:bottom w:val="doub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zielo</w:t>
            </w:r>
            <w:proofErr w:type="spellEnd"/>
            <w:r w:rsidRPr="00DC390B">
              <w:rPr>
                <w:rFonts w:ascii="Times New Roman" w:eastAsia="Times New Roman" w:hAnsi="Times New Roman" w:cs="Times New Roman"/>
                <w:sz w:val="24"/>
                <w:szCs w:val="24"/>
                <w:lang w:eastAsia="pl-PL"/>
              </w:rPr>
              <w:t>-na</w:t>
            </w:r>
          </w:p>
        </w:tc>
      </w:tr>
      <w:tr w:rsidR="00DC390B" w:rsidRPr="00DC390B" w:rsidTr="00E75F6D">
        <w:tc>
          <w:tcPr>
            <w:tcW w:w="1418" w:type="dxa"/>
            <w:tcBorders>
              <w:top w:val="double" w:sz="4" w:space="0" w:color="auto"/>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0,1</w:t>
            </w:r>
          </w:p>
        </w:tc>
        <w:tc>
          <w:tcPr>
            <w:tcW w:w="1417" w:type="dxa"/>
            <w:tcBorders>
              <w:top w:val="doub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992" w:type="dxa"/>
            <w:tcBorders>
              <w:top w:val="double" w:sz="4" w:space="0" w:color="auto"/>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850</w:t>
            </w:r>
          </w:p>
        </w:tc>
        <w:tc>
          <w:tcPr>
            <w:tcW w:w="851"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550</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170</w:t>
            </w:r>
          </w:p>
        </w:tc>
        <w:tc>
          <w:tcPr>
            <w:tcW w:w="1134"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988" w:type="dxa"/>
            <w:tcBorders>
              <w:top w:val="double" w:sz="4" w:space="0" w:color="auto"/>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r>
      <w:tr w:rsidR="00DC390B" w:rsidRPr="00DC390B" w:rsidTr="00E75F6D">
        <w:tc>
          <w:tcPr>
            <w:tcW w:w="1418" w:type="dxa"/>
            <w:tcBorders>
              <w:top w:val="single" w:sz="6"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top w:val="single" w:sz="6"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625</w:t>
            </w:r>
          </w:p>
        </w:tc>
        <w:tc>
          <w:tcPr>
            <w:tcW w:w="851"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125</w:t>
            </w:r>
          </w:p>
        </w:tc>
        <w:tc>
          <w:tcPr>
            <w:tcW w:w="1134"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310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top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390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450</w:t>
            </w:r>
          </w:p>
        </w:tc>
        <w:tc>
          <w:tcPr>
            <w:tcW w:w="851"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290</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90</w:t>
            </w:r>
          </w:p>
        </w:tc>
        <w:tc>
          <w:tcPr>
            <w:tcW w:w="1134"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88" w:type="dxa"/>
            <w:tcBorders>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r>
      <w:tr w:rsidR="00DC390B" w:rsidRPr="00DC390B" w:rsidTr="00E75F6D">
        <w:tc>
          <w:tcPr>
            <w:tcW w:w="1418" w:type="dxa"/>
            <w:tcBorders>
              <w:top w:val="single" w:sz="6" w:space="0" w:color="auto"/>
              <w:left w:val="single" w:sz="8"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top w:val="single" w:sz="6" w:space="0" w:color="auto"/>
              <w:left w:val="single" w:sz="4"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851"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195</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c>
          <w:tcPr>
            <w:tcW w:w="1134"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top w:val="single" w:sz="6" w:space="0" w:color="auto"/>
              <w:bottom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top w:val="single" w:sz="4"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top w:val="single" w:sz="4"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top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160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145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25</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851"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1134"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75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w:t>
            </w:r>
          </w:p>
        </w:tc>
        <w:tc>
          <w:tcPr>
            <w:tcW w:w="988" w:type="dxa"/>
            <w:tcBorders>
              <w:bottom w:val="single" w:sz="8"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r>
    </w:tbl>
    <w:p w:rsidR="00DC390B" w:rsidRPr="00DC390B" w:rsidRDefault="00DC390B" w:rsidP="00DC390B">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4.</w:t>
      </w:r>
      <w:r w:rsidRPr="00DC390B">
        <w:rPr>
          <w:rFonts w:ascii="Times New Roman" w:eastAsia="Times New Roman" w:hAnsi="Times New Roman" w:cs="Times New Roman"/>
          <w:sz w:val="24"/>
          <w:szCs w:val="20"/>
          <w:lang w:eastAsia="pl-PL"/>
        </w:rPr>
        <w:tab/>
        <w:t>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fluorescencyjnej typu 3PF</w:t>
      </w:r>
    </w:p>
    <w:tbl>
      <w:tblPr>
        <w:tblW w:w="5643" w:type="dxa"/>
        <w:tblInd w:w="113" w:type="dxa"/>
        <w:tblCellMar>
          <w:left w:w="0" w:type="dxa"/>
          <w:right w:w="0" w:type="dxa"/>
        </w:tblCellMar>
        <w:tblLook w:val="04A0" w:firstRow="1" w:lastRow="0" w:firstColumn="1" w:lastColumn="0" w:noHBand="0" w:noVBand="1"/>
      </w:tblPr>
      <w:tblGrid>
        <w:gridCol w:w="1701"/>
        <w:gridCol w:w="1770"/>
        <w:gridCol w:w="2172"/>
      </w:tblGrid>
      <w:tr w:rsidR="00DC390B" w:rsidRPr="00DC390B" w:rsidTr="00E75F6D">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1</w:t>
            </w:r>
            <w:r w:rsidRPr="00DC390B">
              <w:rPr>
                <w:rFonts w:ascii="Times New Roman" w:eastAsia="Times New Roman" w:hAnsi="Times New Roman" w:cs="Times New Roman"/>
                <w:sz w:val="24"/>
                <w:szCs w:val="24"/>
                <w:lang w:eastAsia="pl-PL"/>
              </w:rPr>
              <w:t>[°]</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2</w:t>
            </w:r>
            <w:r w:rsidRPr="00DC390B">
              <w:rPr>
                <w:rFonts w:ascii="Times New Roman" w:eastAsia="Times New Roman" w:hAnsi="Times New Roman" w:cs="Times New Roman"/>
                <w:sz w:val="24"/>
                <w:szCs w:val="24"/>
                <w:lang w:eastAsia="pl-PL"/>
              </w:rPr>
              <w:t>=0</w:t>
            </w:r>
            <w:r w:rsidRPr="00DC390B">
              <w:rPr>
                <w:rFonts w:ascii="Times New Roman" w:eastAsia="Times New Roman" w:hAnsi="Times New Roman" w:cs="Times New Roman"/>
                <w:sz w:val="24"/>
                <w:szCs w:val="24"/>
                <w:vertAlign w:val="superscript"/>
                <w:lang w:eastAsia="pl-PL"/>
              </w:rPr>
              <w:t>°</w:t>
            </w:r>
            <w:r w:rsidRPr="00DC390B">
              <w:rPr>
                <w:rFonts w:ascii="Times New Roman" w:eastAsia="Times New Roman" w:hAnsi="Times New Roman" w:cs="Times New Roman"/>
                <w:sz w:val="24"/>
                <w:szCs w:val="24"/>
                <w:lang w:eastAsia="pl-PL"/>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Barwa lica znaku</w:t>
            </w:r>
          </w:p>
        </w:tc>
      </w:tr>
      <w:tr w:rsidR="00DC390B" w:rsidRPr="00DC390B" w:rsidTr="00E75F6D">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0" w:type="auto"/>
            <w:vMerge/>
            <w:tcBorders>
              <w:top w:val="double" w:sz="4" w:space="0" w:color="auto"/>
              <w:left w:val="nil"/>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fluorescencyjna żółto-zielona</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375</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270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70</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200</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140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43</w:t>
            </w:r>
          </w:p>
        </w:tc>
      </w:tr>
      <w:tr w:rsidR="00DC390B" w:rsidRPr="00DC390B" w:rsidTr="00E75F6D">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36</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24</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9</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Biorąc pod uwagę dane zawarte w tablicach 2, 3 i.4 klasyfikacja folii odblaskowych przybierze postać podaną w tablicy 5.</w:t>
      </w:r>
    </w:p>
    <w:p w:rsidR="00DC390B" w:rsidRPr="00DC390B" w:rsidRDefault="00DC390B" w:rsidP="00DC390B">
      <w:pPr>
        <w:widowControl w:val="0"/>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bookmarkStart w:id="12" w:name="_Toc421265225"/>
      <w:bookmarkStart w:id="13" w:name="_Toc421265488"/>
      <w:r w:rsidRPr="00DC390B">
        <w:rPr>
          <w:rFonts w:ascii="Times New Roman" w:eastAsia="Times New Roman" w:hAnsi="Times New Roman" w:cs="Times New Roman"/>
          <w:sz w:val="24"/>
          <w:szCs w:val="20"/>
          <w:lang w:eastAsia="pl-PL"/>
        </w:rPr>
        <w:t>Tablica 5. Klasyfikacja folii odblaskowych</w:t>
      </w:r>
      <w:bookmarkEnd w:id="12"/>
      <w:bookmarkEnd w:id="13"/>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DC390B" w:rsidRPr="00DC390B" w:rsidTr="00E75F6D">
        <w:trPr>
          <w:tblHeader/>
        </w:trPr>
        <w:tc>
          <w:tcPr>
            <w:tcW w:w="709" w:type="dxa"/>
            <w:tcBorders>
              <w:top w:val="single" w:sz="4" w:space="0" w:color="auto"/>
              <w:left w:val="single" w:sz="4" w:space="0" w:color="auto"/>
              <w:bottom w:val="doub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Typ folii</w:t>
            </w:r>
          </w:p>
        </w:tc>
        <w:tc>
          <w:tcPr>
            <w:tcW w:w="2212" w:type="dxa"/>
            <w:tcBorders>
              <w:top w:val="single" w:sz="4" w:space="0" w:color="auto"/>
              <w:bottom w:val="doub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folii</w:t>
            </w:r>
          </w:p>
        </w:tc>
        <w:tc>
          <w:tcPr>
            <w:tcW w:w="3004" w:type="dxa"/>
            <w:tcBorders>
              <w:top w:val="single" w:sz="4" w:space="0" w:color="auto"/>
              <w:left w:val="single" w:sz="4" w:space="0" w:color="auto"/>
              <w:bottom w:val="doub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top w:val="single" w:sz="4" w:space="0" w:color="auto"/>
              <w:bottom w:val="double" w:sz="4" w:space="0" w:color="auto"/>
              <w:right w:val="sing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709"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2212"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50</w:t>
            </w:r>
          </w:p>
        </w:tc>
        <w:tc>
          <w:tcPr>
            <w:tcW w:w="2864"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24</w:t>
            </w:r>
          </w:p>
        </w:tc>
      </w:tr>
      <w:tr w:rsidR="00DC390B" w:rsidRPr="00DC390B" w:rsidTr="00E75F6D">
        <w:tc>
          <w:tcPr>
            <w:tcW w:w="709"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1P</w:t>
            </w:r>
          </w:p>
        </w:tc>
        <w:tc>
          <w:tcPr>
            <w:tcW w:w="2212"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c>
          <w:tcPr>
            <w:tcW w:w="2864"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48</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180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2P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300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165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425</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225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folii żółtozielonej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Współczynnik odblasku </w:t>
            </w:r>
            <w:r w:rsidRPr="00DC390B">
              <w:rPr>
                <w:rFonts w:ascii="Times New Roman" w:eastAsia="Times New Roman" w:hAnsi="Times New Roman" w:cs="Times New Roman"/>
                <w:szCs w:val="20"/>
                <w:lang w:eastAsia="pl-PL"/>
              </w:rPr>
              <w:t xml:space="preserve">folii żółtozielonej </w:t>
            </w:r>
            <w:r w:rsidRPr="00DC390B">
              <w:rPr>
                <w:rFonts w:ascii="Times New Roman" w:eastAsia="Times New Roman" w:hAnsi="Times New Roman" w:cs="Times New Roman"/>
                <w:sz w:val="20"/>
                <w:szCs w:val="20"/>
                <w:lang w:eastAsia="pl-PL"/>
              </w:rPr>
              <w:t>[cd lx</w:t>
            </w:r>
            <w:r w:rsidRPr="00DC390B">
              <w:rPr>
                <w:rFonts w:ascii="Times New Roman" w:eastAsia="Times New Roman" w:hAnsi="Times New Roman" w:cs="Times New Roman"/>
                <w:sz w:val="20"/>
                <w:szCs w:val="20"/>
                <w:vertAlign w:val="superscript"/>
                <w:lang w:eastAsia="pl-PL"/>
              </w:rPr>
              <w:t>-1</w:t>
            </w:r>
            <w:r w:rsidRPr="00DC390B">
              <w:rPr>
                <w:rFonts w:ascii="Times New Roman" w:eastAsia="Times New Roman" w:hAnsi="Times New Roman" w:cs="Times New Roman"/>
                <w:sz w:val="20"/>
                <w:szCs w:val="20"/>
                <w:lang w:eastAsia="pl-PL"/>
              </w:rPr>
              <w:t xml:space="preserve"> m</w:t>
            </w:r>
            <w:r w:rsidRPr="00DC390B">
              <w:rPr>
                <w:rFonts w:ascii="Times New Roman" w:eastAsia="Times New Roman" w:hAnsi="Times New Roman" w:cs="Times New Roman"/>
                <w:sz w:val="20"/>
                <w:szCs w:val="20"/>
                <w:vertAlign w:val="superscript"/>
                <w:lang w:eastAsia="pl-PL"/>
              </w:rPr>
              <w:t>-2</w:t>
            </w:r>
            <w:r w:rsidRPr="00DC390B">
              <w:rPr>
                <w:rFonts w:ascii="Times New Roman" w:eastAsia="Times New Roman" w:hAnsi="Times New Roman" w:cs="Times New Roman"/>
                <w:sz w:val="20"/>
                <w:szCs w:val="20"/>
                <w:lang w:eastAsia="pl-PL"/>
              </w:rPr>
              <w:t>]</w:t>
            </w:r>
          </w:p>
        </w:tc>
      </w:tr>
      <w:tr w:rsidR="00DC390B" w:rsidRPr="00DC390B" w:rsidTr="00E75F6D">
        <w:tc>
          <w:tcPr>
            <w:tcW w:w="709"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3PF</w:t>
            </w:r>
          </w:p>
        </w:tc>
        <w:tc>
          <w:tcPr>
            <w:tcW w:w="2212"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 fluorescencyjna</w:t>
            </w:r>
          </w:p>
        </w:tc>
        <w:tc>
          <w:tcPr>
            <w:tcW w:w="3004"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270</w:t>
            </w:r>
          </w:p>
        </w:tc>
        <w:tc>
          <w:tcPr>
            <w:tcW w:w="2864"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140</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widowControl w:val="0"/>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Ponadto należy wziąć pod uwagę następujące zalecenia:</w:t>
      </w:r>
    </w:p>
    <w:p w:rsidR="00DC390B" w:rsidRPr="00DC390B" w:rsidRDefault="00DC390B" w:rsidP="00DC390B">
      <w:pPr>
        <w:widowControl w:val="0"/>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dopuszcza się wycinanie kształtów z folii typu 2 i pryzmatycznej pod warunkiem zabezpieczenia ich krawędzi lakierem zalecanym przez producenta folii,</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nie dopuszcza się stosowania folii o okresie trwałości poniżej 7 lat do znaków stałych,</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Minimalna początkowa wartość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xml:space="preserve">) znaków odblaskowych, zmierzona zgodnie z procedurą zawartą w CIE No.54.2 [27], używając standardowego </w:t>
      </w:r>
      <w:proofErr w:type="spellStart"/>
      <w:r w:rsidRPr="00DC390B">
        <w:rPr>
          <w:rFonts w:ascii="Times New Roman" w:eastAsia="Times New Roman" w:hAnsi="Times New Roman" w:cs="Times New Roman"/>
          <w:sz w:val="24"/>
          <w:szCs w:val="20"/>
          <w:lang w:eastAsia="pl-PL"/>
        </w:rPr>
        <w:t>iluminanta</w:t>
      </w:r>
      <w:proofErr w:type="spellEnd"/>
      <w:r w:rsidRPr="00DC390B">
        <w:rPr>
          <w:rFonts w:ascii="Times New Roman" w:eastAsia="Times New Roman" w:hAnsi="Times New Roman" w:cs="Times New Roman"/>
          <w:sz w:val="24"/>
          <w:szCs w:val="20"/>
          <w:lang w:eastAsia="pl-PL"/>
        </w:rPr>
        <w:t xml:space="preserve"> A, powinna spełniać odpowiednio wymagania podane w tablicy 5.</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dla wszystkich kolorów drukowanych, z wyjątkiem białego, nie powinien być mniejszy niż 70% wartości podanych w tablicy 5 dla znaków z folią typu 1 lub typu 2.</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2.7.2. </w:t>
      </w:r>
      <w:r w:rsidRPr="00DC390B">
        <w:rPr>
          <w:rFonts w:ascii="Times New Roman" w:eastAsia="Times New Roman" w:hAnsi="Times New Roman" w:cs="Times New Roman"/>
          <w:sz w:val="24"/>
          <w:szCs w:val="20"/>
          <w:lang w:eastAsia="pl-PL"/>
        </w:rPr>
        <w:t xml:space="preserve">Wymagania jakościowe </w:t>
      </w:r>
    </w:p>
    <w:p w:rsidR="00DC390B" w:rsidRPr="00DC390B" w:rsidRDefault="00DC390B" w:rsidP="00DC390B">
      <w:pPr>
        <w:widowControl w:val="0"/>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Powierzchnia licowa znaku powinna być równa, gładka, bez rozwarstwień, pęcherzy i </w:t>
      </w:r>
      <w:proofErr w:type="spellStart"/>
      <w:r w:rsidRPr="00DC390B">
        <w:rPr>
          <w:rFonts w:ascii="Times New Roman" w:eastAsia="Times New Roman" w:hAnsi="Times New Roman" w:cs="Times New Roman"/>
          <w:sz w:val="24"/>
          <w:szCs w:val="20"/>
          <w:lang w:eastAsia="pl-PL"/>
        </w:rPr>
        <w:t>odklejeń</w:t>
      </w:r>
      <w:proofErr w:type="spellEnd"/>
      <w:r w:rsidRPr="00DC390B">
        <w:rPr>
          <w:rFonts w:ascii="Times New Roman" w:eastAsia="Times New Roman" w:hAnsi="Times New Roman" w:cs="Times New Roman"/>
          <w:sz w:val="24"/>
          <w:szCs w:val="20"/>
          <w:lang w:eastAsia="pl-PL"/>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Dopuszcza się występowanie płytkich rys i wżerów do głębokości maksymalnie 0,1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połączenia folii z powierzchnią tarczy znaku powinien uniemożliwiać jej odłączenie od tarczy bez jej zniszczenia.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Dokładność rysunku znaku powinna być taka, aby wady konturów znaku, które mogą powstać przy nanoszeniu farby na odblaskową powierzchnię znaku, nie były większe niż podane w p. 2.7.3.</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Lica znaków wykonane drukiem sitowym powinny być wolne od smug i cieni.</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Krawędzie lica znaku z folii typu 2 i folii pryzmatycznej powinny być odpowiednio zabezpieczone np. przez lakierowanie lub ramą z profilu ceowego.</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Powłoka lakiernicza w kolorze RAL 7037 na tylnej stronie znaku powinna być równa, gładka bez smug i zacieków. Sprawdzenie barwy polega na ocenie wizualnej przez porównanie ze wzorcem [26].</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 xml:space="preserve">2.7.3. </w:t>
      </w:r>
      <w:r w:rsidRPr="00DC390B">
        <w:rPr>
          <w:rFonts w:ascii="Times New Roman" w:eastAsia="Times New Roman" w:hAnsi="Times New Roman" w:cs="Times New Roman"/>
          <w:bCs/>
          <w:sz w:val="24"/>
          <w:szCs w:val="20"/>
          <w:lang w:eastAsia="pl-PL"/>
        </w:rPr>
        <w:t>Tolerancje wymiarowe dla lica znaku</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Sprawdzone przymiarem liniowym:</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drukiem sitowym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metodą wyklejania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mm"/>
        </w:smartTagPr>
        <w:r w:rsidRPr="00DC390B">
          <w:rPr>
            <w:rFonts w:ascii="Times New Roman" w:eastAsia="Times New Roman" w:hAnsi="Times New Roman" w:cs="Times New Roman"/>
            <w:sz w:val="24"/>
            <w:szCs w:val="20"/>
            <w:lang w:eastAsia="pl-PL"/>
          </w:rPr>
          <w:t>2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W znakach nowych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nie może występować więcej niż 1 lokalna usterka (załamania, pęcherzyki)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Niedopuszczalne jest występowanie jakichkolwiek zarysowań powierzchni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Na znakach w okresie gwarancji,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dopuszcza się do 2 usterek jak wyżej,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całkowitej długości nie większej niż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długości przekraczającej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 pod warunkiem, że zarysowania te nie zniekształcają treści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znakach w okresie gwarancji dopuszcza się również lokalne uszkodzenie folii o powierzchni nie przekraczającej 6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pięć na powierzchni znaku małego lub średniego, oraz o powierzchni nie przekraczającej 8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DC390B">
          <w:rPr>
            <w:rFonts w:ascii="Times New Roman" w:eastAsia="Times New Roman" w:hAnsi="Times New Roman" w:cs="Times New Roman"/>
            <w:sz w:val="24"/>
            <w:szCs w:val="20"/>
            <w:lang w:eastAsia="pl-PL"/>
          </w:rPr>
          <w:t>1200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Uszkodzenia folii nie mogą zniekształcać treści znaku - w przypadku występowania takiego zniekształcenia znak musi być bezzwłocznie wymieniony.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W znakach nowych oraz w znakach znajdujących się w okresie wymaganej gwarancji żadna korozja tarczy znaku nie może występować.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 żadnym miejscu nie uległo ono zniszczeniu.</w:t>
      </w:r>
    </w:p>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2.7.4.</w:t>
      </w:r>
      <w:r w:rsidRPr="00DC390B">
        <w:rPr>
          <w:rFonts w:ascii="Times New Roman" w:eastAsia="Times New Roman" w:hAnsi="Times New Roman" w:cs="Times New Roman"/>
          <w:sz w:val="24"/>
          <w:szCs w:val="20"/>
          <w:lang w:eastAsia="pl-PL"/>
        </w:rPr>
        <w:t xml:space="preserve"> Zasady doboru typu folii na lica znaków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zależności od usytuowania znaku drogowego i rodzaju drogi zaleca się stosowanie odpowiedniego rodzaju folii odblaskowej zapewniającej dobrą widoczność znaku w nocy zgodnie z tablicą 6.</w:t>
      </w:r>
    </w:p>
    <w:p w:rsidR="00DC390B" w:rsidRPr="00DC390B" w:rsidRDefault="00DC390B" w:rsidP="00DC390B">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6.</w:t>
      </w:r>
      <w:r w:rsidRPr="00DC390B">
        <w:rPr>
          <w:rFonts w:ascii="Times New Roman" w:eastAsia="Times New Roman" w:hAnsi="Times New Roman" w:cs="Times New Roman"/>
          <w:sz w:val="24"/>
          <w:szCs w:val="20"/>
          <w:lang w:eastAsia="pl-PL"/>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417"/>
        <w:gridCol w:w="1134"/>
        <w:gridCol w:w="992"/>
        <w:gridCol w:w="851"/>
        <w:gridCol w:w="992"/>
        <w:gridCol w:w="724"/>
      </w:tblGrid>
      <w:tr w:rsidR="00DC390B" w:rsidRPr="00DC390B" w:rsidTr="00E75F6D">
        <w:trPr>
          <w:trHeight w:val="361"/>
          <w:jc w:val="center"/>
        </w:trPr>
        <w:tc>
          <w:tcPr>
            <w:tcW w:w="1340"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Rodzaj znaku*</w:t>
            </w:r>
          </w:p>
        </w:tc>
        <w:tc>
          <w:tcPr>
            <w:tcW w:w="1372"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Usytuowanie znaku</w:t>
            </w:r>
          </w:p>
        </w:tc>
        <w:tc>
          <w:tcPr>
            <w:tcW w:w="6110" w:type="dxa"/>
            <w:gridSpan w:val="6"/>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Warunki otoczenia znaku</w:t>
            </w:r>
          </w:p>
        </w:tc>
      </w:tr>
      <w:tr w:rsidR="00DC390B" w:rsidRPr="00DC390B" w:rsidTr="00E75F6D">
        <w:trPr>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3543"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oświetlone typowo</w:t>
            </w:r>
          </w:p>
        </w:tc>
        <w:tc>
          <w:tcPr>
            <w:tcW w:w="2567"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jasno oświetlone</w:t>
            </w:r>
          </w:p>
        </w:tc>
      </w:tr>
      <w:tr w:rsidR="00DC390B" w:rsidRPr="00DC390B" w:rsidTr="00E75F6D">
        <w:trPr>
          <w:trHeight w:val="921"/>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417"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autostrady i drogi dwu-jezdniowe</w:t>
            </w:r>
          </w:p>
        </w:tc>
        <w:tc>
          <w:tcPr>
            <w:tcW w:w="113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drogi </w:t>
            </w:r>
            <w:proofErr w:type="spellStart"/>
            <w:r w:rsidRPr="00DC390B">
              <w:rPr>
                <w:rFonts w:ascii="Times New Roman" w:eastAsia="Times New Roman" w:hAnsi="Times New Roman" w:cs="Times New Roman"/>
                <w:bCs/>
                <w:sz w:val="20"/>
                <w:szCs w:val="20"/>
                <w:lang w:eastAsia="pl-PL"/>
              </w:rPr>
              <w:t>pozamiej-skie</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miejskie</w:t>
            </w:r>
          </w:p>
        </w:tc>
        <w:tc>
          <w:tcPr>
            <w:tcW w:w="851"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w:t>
            </w:r>
            <w:proofErr w:type="spellStart"/>
            <w:r w:rsidRPr="00DC390B">
              <w:rPr>
                <w:rFonts w:ascii="Times New Roman" w:eastAsia="Times New Roman" w:hAnsi="Times New Roman" w:cs="Times New Roman"/>
                <w:bCs/>
                <w:sz w:val="20"/>
                <w:szCs w:val="20"/>
                <w:lang w:eastAsia="pl-PL"/>
              </w:rPr>
              <w:t>strady</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poza-miejskie</w:t>
            </w:r>
          </w:p>
        </w:tc>
        <w:tc>
          <w:tcPr>
            <w:tcW w:w="72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w:t>
            </w:r>
            <w:proofErr w:type="spellStart"/>
            <w:r w:rsidRPr="00DC390B">
              <w:rPr>
                <w:rFonts w:ascii="Times New Roman" w:eastAsia="Times New Roman" w:hAnsi="Times New Roman" w:cs="Times New Roman"/>
                <w:bCs/>
                <w:sz w:val="20"/>
                <w:szCs w:val="20"/>
                <w:lang w:eastAsia="pl-PL"/>
              </w:rPr>
              <w:t>skie</w:t>
            </w:r>
            <w:proofErr w:type="spellEnd"/>
          </w:p>
        </w:tc>
      </w:tr>
      <w:tr w:rsidR="00DC390B" w:rsidRPr="00DC390B" w:rsidTr="00E75F6D">
        <w:trPr>
          <w:trHeight w:val="558"/>
          <w:jc w:val="center"/>
        </w:trPr>
        <w:tc>
          <w:tcPr>
            <w:tcW w:w="1340" w:type="dxa"/>
            <w:vMerge w:val="restart"/>
          </w:tcPr>
          <w:p w:rsidR="00DC390B" w:rsidRPr="00DC390B" w:rsidRDefault="00DC390B" w:rsidP="00DC390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Wszystkie znaki z wyjątkiem </w:t>
            </w:r>
            <w:proofErr w:type="spellStart"/>
            <w:r w:rsidRPr="00DC390B">
              <w:rPr>
                <w:rFonts w:ascii="Times New Roman" w:eastAsia="Times New Roman" w:hAnsi="Times New Roman" w:cs="Times New Roman"/>
                <w:bCs/>
                <w:sz w:val="20"/>
                <w:szCs w:val="20"/>
                <w:lang w:eastAsia="pl-PL"/>
              </w:rPr>
              <w:t>n.w</w:t>
            </w:r>
            <w:proofErr w:type="spellEnd"/>
            <w:r w:rsidRPr="00DC390B">
              <w:rPr>
                <w:rFonts w:ascii="Times New Roman" w:eastAsia="Times New Roman" w:hAnsi="Times New Roman" w:cs="Times New Roman"/>
                <w:bCs/>
                <w:sz w:val="20"/>
                <w:szCs w:val="20"/>
                <w:lang w:eastAsia="pl-PL"/>
              </w:rPr>
              <w:t>.</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jc w:val="center"/>
        </w:trPr>
        <w:tc>
          <w:tcPr>
            <w:tcW w:w="1340" w:type="dxa"/>
            <w:vMerge/>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Nad jezdnią</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trHeight w:val="537"/>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A-7, A-17,</w:t>
            </w:r>
            <w:r w:rsidRPr="00DC390B">
              <w:rPr>
                <w:rFonts w:ascii="Times New Roman" w:eastAsia="Times New Roman" w:hAnsi="Times New Roman" w:cs="Times New Roman"/>
                <w:bCs/>
                <w:sz w:val="20"/>
                <w:szCs w:val="20"/>
                <w:lang w:eastAsia="pl-PL"/>
              </w:rPr>
              <w:br/>
              <w:t>B-2, B-20</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42"/>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Znaki nakazu</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 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2P,3P</w:t>
            </w:r>
          </w:p>
        </w:tc>
      </w:tr>
      <w:tr w:rsidR="00DC390B" w:rsidRPr="00DC390B" w:rsidTr="00E75F6D">
        <w:trPr>
          <w:trHeight w:val="52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lastRenderedPageBreak/>
              <w:t>Roboty na drodze</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0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Strefy </w:t>
            </w:r>
            <w:proofErr w:type="spellStart"/>
            <w:r w:rsidRPr="00DC390B">
              <w:rPr>
                <w:rFonts w:ascii="Times New Roman" w:eastAsia="Times New Roman" w:hAnsi="Times New Roman" w:cs="Times New Roman"/>
                <w:bCs/>
                <w:sz w:val="20"/>
                <w:szCs w:val="20"/>
                <w:lang w:eastAsia="pl-PL"/>
              </w:rPr>
              <w:t>powol-nego</w:t>
            </w:r>
            <w:proofErr w:type="spellEnd"/>
            <w:r w:rsidRPr="00DC390B">
              <w:rPr>
                <w:rFonts w:ascii="Times New Roman" w:eastAsia="Times New Roman" w:hAnsi="Times New Roman" w:cs="Times New Roman"/>
                <w:bCs/>
                <w:sz w:val="20"/>
                <w:szCs w:val="20"/>
                <w:lang w:eastAsia="pl-PL"/>
              </w:rPr>
              <w:t xml:space="preserve"> ruchu</w:t>
            </w:r>
          </w:p>
        </w:tc>
        <w:tc>
          <w:tcPr>
            <w:tcW w:w="1372" w:type="dxa"/>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r>
    </w:tbl>
    <w:p w:rsidR="00DC390B" w:rsidRPr="00DC390B" w:rsidRDefault="00DC390B" w:rsidP="00DC390B">
      <w:pPr>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 xml:space="preserve">Zaleca się oznakowanie szlaków rowerowych z użyciem folii </w:t>
      </w:r>
      <w:proofErr w:type="spellStart"/>
      <w:r w:rsidRPr="00DC390B">
        <w:rPr>
          <w:rFonts w:ascii="Times New Roman" w:eastAsia="Times New Roman" w:hAnsi="Times New Roman" w:cs="Times New Roman"/>
          <w:sz w:val="20"/>
          <w:szCs w:val="20"/>
          <w:lang w:eastAsia="pl-PL"/>
        </w:rPr>
        <w:t>nieodblaskowych</w:t>
      </w:r>
      <w:proofErr w:type="spellEnd"/>
      <w:r w:rsidRPr="00DC390B">
        <w:rPr>
          <w:rFonts w:ascii="Times New Roman" w:eastAsia="Times New Roman" w:hAnsi="Times New Roman" w:cs="Times New Roman"/>
          <w:sz w:val="20"/>
          <w:szCs w:val="20"/>
          <w:lang w:eastAsia="pl-PL"/>
        </w:rPr>
        <w:t xml:space="preserve"> oraz w przypadku pojazdów wojskowych dopuszcza się stosowanie folii odblaskowych typu 1.</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Dopuszcza się, w miejscach podwyższonego niebezpieczeństwa, wykonywania lic znaków D-6, D-6a, D-6b, D-6c, tabliczki T-27, tablicy U-3a i U-3b na tle folii pryzmatycznej odblaskowo – fluorescencyjnej żółto-zielonej typu 3PF.</w:t>
      </w:r>
    </w:p>
    <w:p w:rsidR="00DC390B" w:rsidRPr="00DC390B" w:rsidRDefault="00DC390B" w:rsidP="00DC390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2.7.5</w:t>
      </w:r>
      <w:r w:rsidRPr="00DC390B">
        <w:rPr>
          <w:rFonts w:ascii="Times New Roman" w:eastAsia="Times New Roman" w:hAnsi="Times New Roman" w:cs="Times New Roman"/>
          <w:sz w:val="24"/>
          <w:szCs w:val="20"/>
          <w:lang w:eastAsia="pl-PL"/>
        </w:rPr>
        <w:t>. Oznakowanie znaku</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Każdy wykonany znak drogowy musi mieć naklejoną na rewersie naklejkę zawierającą następujące informacje: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i datę normy tj. PN-EN 12899-1:2010 [1],</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klasy istotnych właściwości wyrobu,</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miesiąc i dwie ostatnie cyfry roku produkcji</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nazwę, znak handlowy i inne oznaczenia identyfikujące producenta lub dostawcę jeśli nie jest producentem,</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budowlany lub znak CE,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certyfikatu zgodności lub certyfikatu stałości właściwości użytkowych i numer jednostki certyfikującej.</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Oznakowanie znaku powinno być wykonane w sposób trwały i wyraźny, czytelny z normalnej odległości widzenia, a całkowita powierzchnia naklejki nie była większa niż 30 cm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Czytelność i trwałość cechy na tylnej stronie tarczy znaku nie powinna być niższa od wymaganej trwałości znaku. Naklejkę należy wykonać z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2.8. Znaki podświetlane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2.8.1. </w:t>
      </w:r>
      <w:r w:rsidRPr="00DC390B">
        <w:rPr>
          <w:rFonts w:ascii="Times New Roman" w:eastAsia="Times New Roman" w:hAnsi="Times New Roman" w:cs="Times New Roman"/>
          <w:sz w:val="24"/>
          <w:szCs w:val="20"/>
          <w:lang w:eastAsia="pl-PL"/>
        </w:rPr>
        <w:t>Wymagania ogólne dotyczące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wykonane jako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ustawiane wyłącznie w obszarze zabudowanym, z ulicznym oświetleniem.</w:t>
      </w:r>
    </w:p>
    <w:p w:rsidR="00DC390B" w:rsidRPr="00DC390B" w:rsidRDefault="00DC390B" w:rsidP="00DC390B">
      <w:pPr>
        <w:spacing w:after="0" w:line="240" w:lineRule="auto"/>
        <w:jc w:val="both"/>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ab/>
        <w:t>Znaki podświetlane charakteryzują następujące parametry:</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chromatyczność i współczynnik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średnia luminacja,</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kontrast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 xml:space="preserve">równomierność luminancji.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ab/>
        <w:t xml:space="preserve">Chromatyczność (współrzędne chromatyczności) oraz współczynnik luminancji </w:t>
      </w:r>
      <w:r w:rsidRPr="00DC390B">
        <w:rPr>
          <w:rFonts w:ascii="Times New Roman" w:eastAsia="Times New Roman" w:hAnsi="Times New Roman" w:cs="Times New Roman"/>
          <w:bCs/>
          <w:i/>
          <w:iCs/>
          <w:sz w:val="24"/>
          <w:szCs w:val="24"/>
          <w:lang w:eastAsia="pl-PL"/>
        </w:rPr>
        <w:t>β</w:t>
      </w:r>
      <w:r w:rsidRPr="00DC390B">
        <w:rPr>
          <w:rFonts w:ascii="Times New Roman" w:eastAsia="Times New Roman" w:hAnsi="Times New Roman" w:cs="Times New Roman"/>
          <w:bCs/>
          <w:sz w:val="24"/>
          <w:szCs w:val="24"/>
          <w:lang w:eastAsia="pl-PL"/>
        </w:rPr>
        <w:t xml:space="preserve"> powinny być zgodne z wartościami podanymi w tabeli 18 normy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podświetlanych należy przeprowadzać zgodnie z PN-EN 12899-1:2010 [1]. Wartości średniej luminancji powinny być zgodne z wartościami podanymi w tablicy 7.</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7. Średnia luminancja </w:t>
      </w:r>
      <w:r w:rsidRPr="00DC390B">
        <w:rPr>
          <w:rFonts w:ascii="Times New Roman" w:eastAsia="Times New Roman" w:hAnsi="Times New Roman" w:cs="Times New Roman"/>
          <w:bCs/>
          <w:i/>
          <w:iCs/>
          <w:sz w:val="24"/>
          <w:szCs w:val="20"/>
          <w:lang w:eastAsia="pl-PL"/>
        </w:rPr>
        <w:t>L</w:t>
      </w:r>
      <w:r w:rsidRPr="00DC390B">
        <w:rPr>
          <w:rFonts w:ascii="Times New Roman" w:eastAsia="Times New Roman" w:hAnsi="Times New Roman" w:cs="Times New Roman"/>
          <w:bCs/>
          <w:sz w:val="24"/>
          <w:szCs w:val="20"/>
          <w:lang w:eastAsia="pl-PL"/>
        </w:rPr>
        <w:t xml:space="preserve"> [</w:t>
      </w:r>
      <w:r w:rsidRPr="00DC390B">
        <w:rPr>
          <w:rFonts w:ascii="Times New Roman" w:eastAsia="Times New Roman" w:hAnsi="Times New Roman" w:cs="Times New Roman"/>
          <w:sz w:val="24"/>
          <w:szCs w:val="20"/>
          <w:lang w:eastAsia="pl-PL"/>
        </w:rPr>
        <w:t>cd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bCs/>
          <w:sz w:val="24"/>
          <w:szCs w:val="20"/>
          <w:lang w:eastAsia="pl-PL"/>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DC390B" w:rsidRPr="00DC390B" w:rsidTr="00E75F6D">
        <w:trPr>
          <w:tblHeade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Barwa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L1</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L2</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L3</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LS</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Biała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Żółta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&lt;30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Czerwona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6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110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6</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Niebieska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Zielona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8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70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Ciemnozielo</w:t>
            </w:r>
            <w:proofErr w:type="spellEnd"/>
            <w:r w:rsidRPr="00DC390B">
              <w:rPr>
                <w:rFonts w:ascii="Times New Roman" w:eastAsia="Times New Roman" w:hAnsi="Times New Roman" w:cs="Times New Roman"/>
                <w:sz w:val="24"/>
                <w:szCs w:val="20"/>
                <w:lang w:eastAsia="pl-PL"/>
              </w:rPr>
              <w:t>-na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 ≤</w:t>
            </w:r>
            <w:r w:rsidRPr="00DC390B">
              <w:rPr>
                <w:rFonts w:ascii="Times New Roman" w:eastAsia="Times New Roman" w:hAnsi="Times New Roman" w:cs="Times New Roman"/>
                <w:i/>
                <w:iCs/>
                <w:sz w:val="24"/>
                <w:szCs w:val="20"/>
                <w:lang w:eastAsia="pl-PL"/>
              </w:rPr>
              <w:t xml:space="preserve"> 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Brązowa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8"/>
          <w:szCs w:val="20"/>
          <w:lang w:eastAsia="pl-PL"/>
        </w:rPr>
      </w:pPr>
      <w:r w:rsidRPr="00DC390B">
        <w:rPr>
          <w:rFonts w:ascii="Times New Roman" w:eastAsia="Times New Roman" w:hAnsi="Times New Roman" w:cs="Times New Roman"/>
          <w:sz w:val="24"/>
          <w:lang w:eastAsia="pl-PL"/>
        </w:rPr>
        <w:tab/>
        <w:t>Klasa LS może być używana jeśli zastosowano materiał elektroluminescencyjny i jest zalecana jedynie wtedy, gdy materiał powierzchni czołowej znaku jest odblaskowy i półprzezroczysty.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Kontrast luminancji znaków podświetlanych „K”, wyznaczony przez stosunek luminancji barwy kontrastowej do luminancji barwy, powinien spełniać wymaganie: 5 ≤ </w:t>
      </w:r>
      <w:r w:rsidRPr="00DC390B">
        <w:rPr>
          <w:rFonts w:ascii="Times New Roman" w:eastAsia="Times New Roman" w:hAnsi="Times New Roman" w:cs="Times New Roman"/>
          <w:i/>
          <w:iCs/>
          <w:sz w:val="24"/>
          <w:szCs w:val="20"/>
          <w:lang w:eastAsia="pl-PL"/>
        </w:rPr>
        <w:t>K</w:t>
      </w:r>
      <w:r w:rsidRPr="00DC390B">
        <w:rPr>
          <w:rFonts w:ascii="Times New Roman" w:eastAsia="Times New Roman" w:hAnsi="Times New Roman" w:cs="Times New Roman"/>
          <w:sz w:val="24"/>
          <w:szCs w:val="20"/>
          <w:lang w:eastAsia="pl-PL"/>
        </w:rPr>
        <w:t> ≤ 15.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Równomierność luminancji, będąca wynikiem stosunku najniższego poziomu do najwyższego poziomu zmierzonego na dowolnej części barwy tła znaku, powinna być zgodna z wymaganiami tablicy 8. Należy spełnić wymaganie co najmniej klasy U2.</w:t>
      </w: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DC390B" w:rsidRPr="00DC390B" w:rsidTr="00E75F6D">
        <w:tc>
          <w:tcPr>
            <w:tcW w:w="1770"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w:t>
            </w:r>
          </w:p>
        </w:tc>
        <w:tc>
          <w:tcPr>
            <w:tcW w:w="2199"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Maksymalny stosunek</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U1</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U2</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U3</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 drogowy podświetlany musi mieć umieszczone w sposób trwały oznaczenia przewidziane na naklejce według punktu 5.5 a ponadto oznaczenie oprawy: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2.8.2. </w:t>
      </w:r>
      <w:r w:rsidRPr="00DC390B">
        <w:rPr>
          <w:rFonts w:ascii="Times New Roman" w:eastAsia="Times New Roman" w:hAnsi="Times New Roman" w:cs="Times New Roman"/>
          <w:sz w:val="24"/>
          <w:szCs w:val="20"/>
          <w:lang w:eastAsia="pl-PL"/>
        </w:rPr>
        <w:t>Lico znaku podświetlanego</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Lico znaku powinno być tak wykonane, aby nie występowały niedokładności w postaci pęcherzy, pęknięć itp. Niedopuszczalne są lokalne nierówności oraz cząstki mechaniczne zatopione w warstwie podświetlanej.</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2.9. Znaki oświetlane</w:t>
      </w:r>
    </w:p>
    <w:p w:rsidR="00DC390B" w:rsidRPr="00DC390B" w:rsidRDefault="00DC390B" w:rsidP="00DC390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2.9.1. </w:t>
      </w:r>
      <w:r w:rsidRPr="00DC390B">
        <w:rPr>
          <w:rFonts w:ascii="Times New Roman" w:eastAsia="Times New Roman" w:hAnsi="Times New Roman" w:cs="Times New Roman"/>
          <w:sz w:val="24"/>
          <w:szCs w:val="20"/>
          <w:lang w:eastAsia="pl-PL"/>
        </w:rPr>
        <w:t>Wymagania ogólne dotyczące znaków oświetlanych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oświetlone światłem zewnętrznym są odblaskowymi lub </w:t>
      </w:r>
      <w:proofErr w:type="spellStart"/>
      <w:r w:rsidRPr="00DC390B">
        <w:rPr>
          <w:rFonts w:ascii="Times New Roman" w:eastAsia="Times New Roman" w:hAnsi="Times New Roman" w:cs="Times New Roman"/>
          <w:sz w:val="24"/>
          <w:szCs w:val="20"/>
          <w:lang w:eastAsia="pl-PL"/>
        </w:rPr>
        <w:t>nieodblaskowymi</w:t>
      </w:r>
      <w:proofErr w:type="spellEnd"/>
      <w:r w:rsidRPr="00DC390B">
        <w:rPr>
          <w:rFonts w:ascii="Times New Roman" w:eastAsia="Times New Roman" w:hAnsi="Times New Roman" w:cs="Times New Roman"/>
          <w:sz w:val="24"/>
          <w:szCs w:val="20"/>
          <w:lang w:eastAsia="pl-PL"/>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elektryczne PN-EN 60598-2-2:2012 [13] oraz wymagania dotyczące szczelności PN-EN 60529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 xml:space="preserve">Znaki oświetlane zewnętrznie </w:t>
      </w:r>
      <w:proofErr w:type="spellStart"/>
      <w:r w:rsidRPr="00DC390B">
        <w:rPr>
          <w:rFonts w:ascii="Times New Roman" w:eastAsia="Times New Roman" w:hAnsi="Times New Roman" w:cs="Times New Roman"/>
          <w:bCs/>
          <w:sz w:val="24"/>
          <w:szCs w:val="20"/>
          <w:lang w:eastAsia="pl-PL"/>
        </w:rPr>
        <w:t>nieodblaskowe</w:t>
      </w:r>
      <w:proofErr w:type="spellEnd"/>
      <w:r w:rsidRPr="00DC390B">
        <w:rPr>
          <w:rFonts w:ascii="Times New Roman" w:eastAsia="Times New Roman" w:hAnsi="Times New Roman" w:cs="Times New Roman"/>
          <w:bCs/>
          <w:sz w:val="24"/>
          <w:szCs w:val="20"/>
          <w:lang w:eastAsia="pl-PL"/>
        </w:rPr>
        <w:t xml:space="preserve"> powinny spełniać wymagania znaków podświetlanych.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Znaki oświetlane zewnętrznie odblaskowe charakteryzują następujące parametry:</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chromatyczność i współczynnik luminancji wg tabeli 18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powierzchniowy współczynnik odblasku wg tabel 3 i 4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średnie natężenie oświetlenia wg tablicy 8,</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równomierność natężenia oświetlenia wg tablicy 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oświetlanych zewnętrznie należy przeprowadzać zgodnie z PN-EN 12899-1:2010 [1]. Wartości średniego natężenia oświetlenia powinny być zgodne z wartościami podanymi w tablicy 8.</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8. Średnie natężenie oświetlenia </w:t>
      </w:r>
      <w:r w:rsidRPr="00DC390B">
        <w:rPr>
          <w:rFonts w:ascii="Times New Roman" w:eastAsia="Times New Roman" w:hAnsi="Times New Roman" w:cs="Times New Roman"/>
          <w:bCs/>
          <w:i/>
          <w:iCs/>
          <w:sz w:val="24"/>
          <w:szCs w:val="20"/>
          <w:lang w:eastAsia="pl-PL"/>
        </w:rPr>
        <w:t xml:space="preserve">E </w:t>
      </w:r>
      <w:r w:rsidRPr="00DC390B">
        <w:rPr>
          <w:rFonts w:ascii="Times New Roman" w:eastAsia="Times New Roman" w:hAnsi="Times New Roman" w:cs="Times New Roman"/>
          <w:bCs/>
          <w:sz w:val="24"/>
          <w:szCs w:val="20"/>
          <w:lang w:eastAsia="pl-PL"/>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E1</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E2*</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E3</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E4</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E5</w:t>
            </w:r>
          </w:p>
        </w:tc>
      </w:tr>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 ≤ E &lt; 100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100 ≤ E &lt; 400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400 ≤ E &lt; 1500</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1500 ≤ E &lt; 3000</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3000 ≤ E &lt; 9000</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Klasy E2, E3, E4 oraz E5 są porównywalne odpowiednio do klas L1, L2, L3 oraz L4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ab/>
        <w:t>Równomierność natężenia oświetlenia, określana jest jako stosunek zmierzonej najniższej wartości do najwyższej wartości natężenia oświetlenia w dowolnej części znaku, powinna odpowiadać wartościom podanym w tablicy 9.</w:t>
      </w:r>
    </w:p>
    <w:p w:rsidR="00DC390B" w:rsidRPr="00DC390B" w:rsidRDefault="00DC390B" w:rsidP="00DC390B">
      <w:pPr>
        <w:overflowPunct w:val="0"/>
        <w:autoSpaceDE w:val="0"/>
        <w:autoSpaceDN w:val="0"/>
        <w:adjustRightInd w:val="0"/>
        <w:spacing w:before="120" w:after="120" w:line="240" w:lineRule="auto"/>
        <w:ind w:left="1021" w:hanging="1021"/>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9.</w:t>
      </w:r>
      <w:r w:rsidRPr="00DC390B">
        <w:rPr>
          <w:rFonts w:ascii="Times New Roman" w:eastAsia="Times New Roman" w:hAnsi="Times New Roman" w:cs="Times New Roman"/>
          <w:bCs/>
          <w:sz w:val="24"/>
          <w:szCs w:val="20"/>
          <w:lang w:eastAsia="pl-PL"/>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UE1*</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UE2</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UE3</w:t>
            </w:r>
          </w:p>
        </w:tc>
      </w:tr>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1/10</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1/6</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1/3</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 </w:t>
      </w:r>
      <w:r w:rsidRPr="00DC390B">
        <w:rPr>
          <w:rFonts w:ascii="Times New Roman" w:eastAsia="Times New Roman" w:hAnsi="Times New Roman" w:cs="Times New Roman"/>
          <w:sz w:val="20"/>
          <w:szCs w:val="20"/>
          <w:lang w:eastAsia="pl-PL"/>
        </w:rPr>
        <w:tab/>
        <w:t>Klasy UE1, UE2 oraz UE3 są porównywalne odpowiednio do klas U1, U2 oraz U3 dla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oświetlonych zewnętrznie i znaki drogowe powinny spełniać wymagania podane w tablicy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Oznaczenia na naklejce oprawy muszą spełniać wymagania określone w punkcie 2.8.1.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Zewnętrzne oprawy oświetleniowe powinny być zgodne z PN-EN 60598-1:2015-04 [15]. Minimalnym poziomem zabezpieczenia konstrukcji wsporczych znaków, skrzynek elektrycznych zawierających urządzenia elektryczne, obudów znaków podświetlanych, opraw oświetleniowych i ich obudów przed przenikaniem kurzu i wody, określonym w PN-EN 60529:2003 [14], powinien być poziom 2 dla cząstek stałych i poziom 3 dla wody. Podstawą do określenia tych poziomów minimalnych powinien być poziom IP podany w wymaganiach klienta lub nabywcy. Zaleca się, aby oprawa była zbudowana jako zamknięta, o stopniu ochrony IP-65 dla komory lampowej i co najmniej IP-23 dla komory statecznika wg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12899-1:2010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powinna spełniać ponadto następujące wymagania :</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opraw zawieszanych na wysokości poniżej </w:t>
      </w:r>
      <w:smartTag w:uri="urn:schemas-microsoft-com:office:smarttags" w:element="metricconverter">
        <w:smartTagPr>
          <w:attr w:name="ProductID" w:val="2,5 m"/>
        </w:smartTagPr>
        <w:r w:rsidRPr="00DC390B">
          <w:rPr>
            <w:rFonts w:ascii="Times New Roman" w:eastAsia="Times New Roman" w:hAnsi="Times New Roman" w:cs="Times New Roman"/>
            <w:sz w:val="24"/>
            <w:szCs w:val="20"/>
            <w:lang w:eastAsia="pl-PL"/>
          </w:rPr>
          <w:t>2,5 m</w:t>
        </w:r>
      </w:smartTag>
      <w:r w:rsidRPr="00DC390B">
        <w:rPr>
          <w:rFonts w:ascii="Times New Roman" w:eastAsia="Times New Roman" w:hAnsi="Times New Roman" w:cs="Times New Roman"/>
          <w:sz w:val="24"/>
          <w:szCs w:val="20"/>
          <w:lang w:eastAsia="pl-PL"/>
        </w:rPr>
        <w:t xml:space="preserve"> klosz oprawy powinien być wykonany z materiałów odpornych na uszkodzenia mechaniczne,</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oznaczeniu oprawy musi być podany rok produkcji.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2.9.2. </w:t>
      </w:r>
      <w:r w:rsidRPr="00DC390B">
        <w:rPr>
          <w:rFonts w:ascii="Times New Roman" w:eastAsia="Times New Roman" w:hAnsi="Times New Roman" w:cs="Times New Roman"/>
          <w:sz w:val="24"/>
          <w:szCs w:val="20"/>
          <w:lang w:eastAsia="pl-PL"/>
        </w:rPr>
        <w:t>Lico znaku oświetlonego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lica znaku oświetlanego ustala się jak dla znaku podświetlanego (pkt 2.8.1).</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2.10. Aktywne pionowe znaki drogowe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Aktywne znaki drogowe pionowe mogą występować w grupie wielkości znaków: D, S i M określonych w odrębnych przepisach [19]. W Zaleceniach I-80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[28] ograniczono zakres stosowania znaków aktywnych do: A-30, B-20, B-33, C-9, C-10, T-18 oraz do tablic i słupków U-3, U-5c, U-6a, U-6b, U-9a, U-9b i U-9c.</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Aktywny znak drogowy składa się z lica, tarczy z umieszczonymi pulsującymi punktowymi źródłami światła, uchwytu montażowego, konstrukcji wsporczej oraz oddzielnego układu elektrycznego sterującego znakiem.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bCs/>
          <w:sz w:val="24"/>
          <w:szCs w:val="20"/>
          <w:lang w:eastAsia="pl-PL"/>
        </w:rPr>
        <w:t>Układ elektryczny</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sz w:val="24"/>
          <w:szCs w:val="20"/>
          <w:lang w:eastAsia="pl-PL"/>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Warunki stosowania aktywnych znaków drogowych są takie same jak dla pionowych stałych odblaskowych znaków drogowych oraz urządzeń bezpieczeństwa ruchu drogowego, które zostały określone w Załącznikach nr 1 i 4 do rozporządzenia Ministra Infrastruktury [19].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Wymagania dotyczące aktywnych pionowych znaków drogowych w stosunku do lica i konstrukcji wsporczej są identyczne jak dla znaków stałych. Dodatkowa wymagania odnoszą się do modułu zasilania zapewniającego nieprzerwaną dostawę energii elektrycznej.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aktywne znaki drogowe powinny być zasilane napięciem bezpiecznym tj. :</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przemiennego nie większym niż 25 V,</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stałego nie większym niż 60 V.</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Alternatywnym źródłem prądu mogą być :</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wymienne baterie akumulatorów,</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panele fotowoltaiczne,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generatory / turbiny wiatrowe,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układy hybrydowe (połączenie generatorów/turbin wiatrowych i paneli fotowoltaicznych).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Możliwe jest łączenie alternatywnych źródeł prądu tworząc w ten sposób układy hybrydowe (np. połączenie turbiny wiatrowej i </w:t>
      </w:r>
      <w:proofErr w:type="spellStart"/>
      <w:r w:rsidRPr="00DC390B">
        <w:rPr>
          <w:rFonts w:ascii="Times New Roman" w:eastAsia="Times New Roman" w:hAnsi="Times New Roman" w:cs="Times New Roman"/>
          <w:sz w:val="24"/>
          <w:szCs w:val="20"/>
          <w:lang w:eastAsia="pl-PL"/>
        </w:rPr>
        <w:t>panela</w:t>
      </w:r>
      <w:proofErr w:type="spellEnd"/>
      <w:r w:rsidRPr="00DC390B">
        <w:rPr>
          <w:rFonts w:ascii="Times New Roman" w:eastAsia="Times New Roman" w:hAnsi="Times New Roman" w:cs="Times New Roman"/>
          <w:sz w:val="24"/>
          <w:szCs w:val="20"/>
          <w:lang w:eastAsia="pl-PL"/>
        </w:rPr>
        <w:t xml:space="preserve"> fotowoltaicznego.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Układ elektroniczny powinien mieć możliwość</w:t>
      </w:r>
      <w:r w:rsidRPr="00DC390B">
        <w:rPr>
          <w:rFonts w:ascii="Times New Roman" w:eastAsia="Times New Roman" w:hAnsi="Times New Roman" w:cs="Times New Roman"/>
          <w:iCs/>
          <w:sz w:val="24"/>
          <w:szCs w:val="20"/>
          <w:lang w:eastAsia="pl-PL"/>
        </w:rPr>
        <w:t xml:space="preserve"> </w:t>
      </w:r>
      <w:r w:rsidRPr="00DC390B">
        <w:rPr>
          <w:rFonts w:ascii="Times New Roman" w:eastAsia="Times New Roman" w:hAnsi="Times New Roman" w:cs="Times New Roman"/>
          <w:sz w:val="24"/>
          <w:szCs w:val="20"/>
          <w:lang w:eastAsia="pl-PL"/>
        </w:rPr>
        <w:t xml:space="preserve">regulacji częstotliwości pulsowania znaku od 0,25 </w:t>
      </w:r>
      <w:proofErr w:type="spellStart"/>
      <w:r w:rsidRPr="00DC390B">
        <w:rPr>
          <w:rFonts w:ascii="Times New Roman" w:eastAsia="Times New Roman" w:hAnsi="Times New Roman" w:cs="Times New Roman"/>
          <w:sz w:val="24"/>
          <w:szCs w:val="20"/>
          <w:lang w:eastAsia="pl-PL"/>
        </w:rPr>
        <w:t>Hz</w:t>
      </w:r>
      <w:proofErr w:type="spellEnd"/>
      <w:r w:rsidRPr="00DC390B">
        <w:rPr>
          <w:rFonts w:ascii="Times New Roman" w:eastAsia="Times New Roman" w:hAnsi="Times New Roman" w:cs="Times New Roman"/>
          <w:sz w:val="24"/>
          <w:szCs w:val="20"/>
          <w:lang w:eastAsia="pl-PL"/>
        </w:rPr>
        <w:t xml:space="preserve"> do 1Hz.</w:t>
      </w:r>
      <w:r w:rsidRPr="00DC390B">
        <w:rPr>
          <w:rFonts w:ascii="Times New Roman" w:eastAsia="Times New Roman" w:hAnsi="Times New Roman" w:cs="Times New Roman"/>
          <w:bCs/>
          <w:sz w:val="24"/>
          <w:szCs w:val="20"/>
          <w:lang w:eastAsia="pl-PL"/>
        </w:rPr>
        <w:t xml:space="preserve"> Czas świecenia diod powinien zawierać się w przedziale od 25% do 50%</w:t>
      </w:r>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Punktowym źródłem światła może być dioda świecąca (LED) lub inny emiter światła barwy białej, żółtej lub czerwonej o średnicy nie większej niż 6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Wiązka światła emitowana powinna być tak ukierunkowana, aby jej strumień był skierowany w kierunku nadjeżdżającego pojazdu.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Punktowe źródło światła powinno charakteryzować się:</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poziomym kątem rozsyłu strumienia świetlnego: od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do 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światłością: </w:t>
      </w:r>
      <w:r w:rsidRPr="00DC390B">
        <w:rPr>
          <w:rFonts w:ascii="Times New Roman" w:eastAsia="Times New Roman" w:hAnsi="Times New Roman" w:cs="Times New Roman"/>
          <w:bCs/>
          <w:sz w:val="24"/>
          <w:szCs w:val="20"/>
          <w:lang w:eastAsia="pl-PL"/>
        </w:rPr>
        <w:t>powyżej 2000 m</w:t>
      </w:r>
      <w:r w:rsidRPr="00DC390B">
        <w:rPr>
          <w:rFonts w:ascii="Times New Roman" w:eastAsia="Times New Roman" w:hAnsi="Times New Roman" w:cs="Times New Roman"/>
          <w:sz w:val="24"/>
          <w:szCs w:val="20"/>
          <w:lang w:eastAsia="pl-PL"/>
        </w:rPr>
        <w:t>cd i nie większą niż 8000 mcd,</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określoną długością fali wysyłanego światła: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żółta – (590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czerwona (625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barwa biała – rozkład zbliżony do V(λ).</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powinien charakteryzować się:</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sterowaniem prądowym: prąd nie większy niż 50% prądu znamionowego,</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światłością znaku od 200 cd do 1000 cd [28].</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2.11. Materiały do montażu znaków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 xml:space="preserve">System mocowania przy użyciu taśmy stalowej np. </w:t>
      </w:r>
      <w:proofErr w:type="spellStart"/>
      <w:r w:rsidRPr="00DC390B">
        <w:rPr>
          <w:rFonts w:ascii="Times New Roman" w:eastAsia="Times New Roman" w:hAnsi="Times New Roman" w:cs="Times New Roman"/>
          <w:sz w:val="24"/>
          <w:szCs w:val="20"/>
          <w:lang w:eastAsia="pl-PL"/>
        </w:rPr>
        <w:t>Bandimex</w:t>
      </w:r>
      <w:proofErr w:type="spellEnd"/>
      <w:r w:rsidRPr="00DC390B">
        <w:rPr>
          <w:rFonts w:ascii="Times New Roman" w:eastAsia="Times New Roman" w:hAnsi="Times New Roman" w:cs="Times New Roman"/>
          <w:sz w:val="24"/>
          <w:szCs w:val="20"/>
          <w:lang w:eastAsia="pl-PL"/>
        </w:rPr>
        <w:t>, umożliwia mocowanie znaków na słupkach o dowolnej średnicy i konstrukcjach różnych rozmiarów z zastosowaniem przyrządu do napinania taśmy i zapinki łączącej końce taśmy.</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2.12. Przechowywanie i składowanie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między podłożem a prefabrykatem.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Znaki powinny być przechowywane na regałach w pomieszczeniach suchych, z dala od materiałów działających korodująco i w warunkach zabezpieczających przed uszkodzeniami.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505581986"/>
      <w:r w:rsidRPr="00DC390B">
        <w:rPr>
          <w:rFonts w:ascii="Times New Roman" w:eastAsia="Times New Roman" w:hAnsi="Times New Roman" w:cs="Times New Roman"/>
          <w:b/>
          <w:caps/>
          <w:kern w:val="28"/>
          <w:sz w:val="24"/>
          <w:szCs w:val="20"/>
          <w:lang w:eastAsia="pl-PL"/>
        </w:rPr>
        <w:t>3. Sprzęt</w:t>
      </w:r>
      <w:bookmarkEnd w:id="14"/>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3.1. Ogólne wymagania dotyczące sprzętu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sprzętu podano w OST  D-M-00.00.00 „Wymagania ogólne” pkt 3.</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3.2. Sprzęt do wykonania oznakowania pionowego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przystępujący do wykonania oznakowania pionowego powinien wykazać się możliwością korzystania z następującego sprzętu: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wiertnicy do wykonywania dołów pod słupki w gruncie spoistym,</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młota pneumatycznego,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betoniarek przewoźnych do wykonywania fundamentów betonowych „na mokro”,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środków transportowych do przewozu materiałów,</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przewoźnych zbiorników na wodę,</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spawalniczego, itp.</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pomocniczego, jak np. drabiny, łopaty, poziomnice,</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zagęszczarki do gruntu,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urządzeń bezpieczeństwa ruchu do oznakowania i zabezpieczenia robót,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niwelatora, jeśli jest potrzebny,</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dodatkowego zaleconego przez ST.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przypadku wykonywania znaków wielkopowierzchniowych Wykonawca powinien dysponować:</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koparką kołową, np. </w:t>
      </w:r>
      <w:smartTag w:uri="urn:schemas-microsoft-com:office:smarttags" w:element="metricconverter">
        <w:smartTagPr>
          <w:attr w:name="ProductID" w:val="0,15 m3"/>
        </w:smartTagPr>
        <w:r w:rsidRPr="00DC390B">
          <w:rPr>
            <w:rFonts w:ascii="Times New Roman" w:eastAsia="Times New Roman" w:hAnsi="Times New Roman" w:cs="Times New Roman"/>
            <w:sz w:val="24"/>
            <w:szCs w:val="20"/>
            <w:lang w:eastAsia="pl-PL"/>
          </w:rPr>
          <w:t>0,15 m</w:t>
        </w:r>
        <w:r w:rsidRPr="00DC390B">
          <w:rPr>
            <w:rFonts w:ascii="Times New Roman" w:eastAsia="Times New Roman" w:hAnsi="Times New Roman" w:cs="Times New Roman"/>
            <w:sz w:val="24"/>
            <w:szCs w:val="20"/>
            <w:vertAlign w:val="superscript"/>
            <w:lang w:eastAsia="pl-PL"/>
          </w:rPr>
          <w:t>3</w:t>
        </w:r>
      </w:smartTag>
      <w:r w:rsidRPr="00DC390B">
        <w:rPr>
          <w:rFonts w:ascii="Times New Roman" w:eastAsia="Times New Roman" w:hAnsi="Times New Roman" w:cs="Times New Roman"/>
          <w:sz w:val="24"/>
          <w:szCs w:val="20"/>
          <w:lang w:eastAsia="pl-PL"/>
        </w:rPr>
        <w:t xml:space="preserve"> lub koparką gąsienicową, np. 0,25 m</w:t>
      </w:r>
      <w:r w:rsidRPr="00DC390B">
        <w:rPr>
          <w:rFonts w:ascii="Times New Roman" w:eastAsia="Times New Roman" w:hAnsi="Times New Roman" w:cs="Times New Roman"/>
          <w:sz w:val="24"/>
          <w:szCs w:val="20"/>
          <w:vertAlign w:val="superscript"/>
          <w:lang w:eastAsia="pl-PL"/>
        </w:rPr>
        <w:t xml:space="preserve">3 </w:t>
      </w:r>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podnośnikiem montażowym samochodowym.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505581987"/>
      <w:r w:rsidRPr="00DC390B">
        <w:rPr>
          <w:rFonts w:ascii="Times New Roman" w:eastAsia="Times New Roman" w:hAnsi="Times New Roman" w:cs="Times New Roman"/>
          <w:b/>
          <w:caps/>
          <w:kern w:val="28"/>
          <w:sz w:val="24"/>
          <w:szCs w:val="20"/>
          <w:lang w:eastAsia="pl-PL"/>
        </w:rPr>
        <w:t>4. Transport</w:t>
      </w:r>
      <w:bookmarkEnd w:id="15"/>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4.1. Ogólne wymagania dotyczące transportu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transportu podano w OST D-M-00.00.00 „Wymagania ogólne” pkt 4.</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4.2. Transport znaków do pionowego oznakowania dróg</w:t>
      </w:r>
    </w:p>
    <w:p w:rsidR="00DC390B" w:rsidRPr="00DC390B" w:rsidRDefault="00DC390B" w:rsidP="00DC390B">
      <w:pPr>
        <w:widowControl w:val="0"/>
        <w:autoSpaceDN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Zestawy znaków drogowych i poszczególne ich części należy na okres transportu odpowiednio zabezpieczyć, chroniąc przed uszkodzeniem mechanicznym, tak aby nie ulegały </w:t>
      </w:r>
      <w:r w:rsidRPr="00DC390B">
        <w:rPr>
          <w:rFonts w:ascii="Times New Roman" w:eastAsia="Times New Roman" w:hAnsi="Times New Roman" w:cs="Times New Roman"/>
          <w:sz w:val="24"/>
          <w:szCs w:val="20"/>
          <w:lang w:eastAsia="pl-PL"/>
        </w:rPr>
        <w:lastRenderedPageBreak/>
        <w:t xml:space="preserve">przemieszczaniu i w sposób nie uszkodzony dotarły do odbiorcy. Szczególnie starannie należy zabezpieczyć powierzchnie lic tarcz znaków przed uszkodzeniem.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505581988"/>
      <w:r w:rsidRPr="00DC390B">
        <w:rPr>
          <w:rFonts w:ascii="Times New Roman" w:eastAsia="Times New Roman" w:hAnsi="Times New Roman" w:cs="Times New Roman"/>
          <w:b/>
          <w:caps/>
          <w:kern w:val="28"/>
          <w:sz w:val="24"/>
          <w:szCs w:val="20"/>
          <w:lang w:eastAsia="pl-PL"/>
        </w:rPr>
        <w:t>5. Wykonanie robót</w:t>
      </w:r>
      <w:bookmarkEnd w:id="16"/>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5.1. Ogólne zasady wykonania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wykonania robót podano w OST D-M-00.00.00 „Wymagania ogólne” pkt 5.</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5.2. Roboty przygotowawcze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po przejęciu placu budowy należy:</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wyznaczyć lokalizację znaku, tj. jego </w:t>
      </w:r>
      <w:proofErr w:type="spellStart"/>
      <w:r w:rsidRPr="00DC390B">
        <w:rPr>
          <w:rFonts w:ascii="Times New Roman" w:eastAsia="Times New Roman" w:hAnsi="Times New Roman" w:cs="Times New Roman"/>
          <w:sz w:val="24"/>
          <w:szCs w:val="20"/>
          <w:lang w:eastAsia="pl-PL"/>
        </w:rPr>
        <w:t>pikietaż</w:t>
      </w:r>
      <w:proofErr w:type="spellEnd"/>
      <w:r w:rsidRPr="00DC390B">
        <w:rPr>
          <w:rFonts w:ascii="Times New Roman" w:eastAsia="Times New Roman" w:hAnsi="Times New Roman" w:cs="Times New Roman"/>
          <w:sz w:val="24"/>
          <w:szCs w:val="20"/>
          <w:lang w:eastAsia="pl-PL"/>
        </w:rPr>
        <w:t xml:space="preserve"> oraz odległość od krawędzi jezdni, krawędzi pobocza umocnionego lub pasa awaryjnego postoju,</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miejsce wykonywania prac oznakować zgodnie z projektem organizacji ruchu, w celu zabezpieczenia pracowników i kierujących pojazdami na drodze.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Punkty stabilizujące miejsca ustawienia znaków należy zabezpieczyć w taki sposób, aby w czasie trwania i odbioru robót istniała możliwość sprawdzenia lokalizacji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Lokalizacja i wysokość zamocowania tarczy znaku powinny być zgodne z dokumentacją projektową.</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5.3. Wykonanie wykopów i fundamentów dla konstrukcji wsporczych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5.3.1.</w:t>
      </w:r>
      <w:r w:rsidRPr="00DC390B">
        <w:rPr>
          <w:rFonts w:ascii="Times New Roman" w:eastAsia="Times New Roman" w:hAnsi="Times New Roman" w:cs="Times New Roman"/>
          <w:sz w:val="24"/>
          <w:szCs w:val="20"/>
          <w:lang w:eastAsia="pl-PL"/>
        </w:rPr>
        <w:t xml:space="preserve"> Wykopy</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Wykopy fundamentowe powinny być wykonane w takim okresie, aby po ich zakończeniu można było przystąpić natychmiast do wykonania w nich robót fundamentowych.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5.3.2. </w:t>
      </w: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5.3.2.2. Fundamenty z betonu i betonu zbrojonego: wykopy pod fundamenty konstrukcji wsporczych dla zamocowania znaków wielkopowierzchniowych (znaki kierunku i miejscowości), wykonywane z betonu „na mokro” lub z betonu zbrojonego należy wykonać zgodnie z PN-S-02205:1998 [17]. </w:t>
      </w:r>
      <w:r w:rsidRPr="00DC390B">
        <w:rPr>
          <w:rFonts w:ascii="Times New Roman" w:eastAsia="Times New Roman" w:hAnsi="Times New Roman" w:cs="Times New Roman"/>
          <w:sz w:val="24"/>
          <w:szCs w:val="20"/>
          <w:lang w:eastAsia="pl-PL"/>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DC390B">
          <w:rPr>
            <w:rFonts w:ascii="Times New Roman" w:eastAsia="Times New Roman" w:hAnsi="Times New Roman" w:cs="Times New Roman"/>
            <w:sz w:val="24"/>
            <w:szCs w:val="20"/>
            <w:lang w:eastAsia="pl-PL"/>
          </w:rPr>
          <w:t>20 cm</w:t>
        </w:r>
      </w:smartTag>
      <w:r w:rsidRPr="00DC390B">
        <w:rPr>
          <w:rFonts w:ascii="Times New Roman" w:eastAsia="Times New Roman" w:hAnsi="Times New Roman" w:cs="Times New Roman"/>
          <w:sz w:val="24"/>
          <w:szCs w:val="20"/>
          <w:lang w:eastAsia="pl-PL"/>
        </w:rPr>
        <w:t xml:space="preserve"> z dokładnym zagęszczeniem gruntu.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5.3.2.3. Poziom górnej powierzchni fundamentu: przy zamocowaniu konstrukcji wsporczej znaku w fundamencie betonowym lub innym podobnym - pożądane jest, by górna część </w:t>
      </w:r>
      <w:r w:rsidRPr="00DC390B">
        <w:rPr>
          <w:rFonts w:ascii="Times New Roman" w:eastAsia="Times New Roman" w:hAnsi="Times New Roman" w:cs="Times New Roman"/>
          <w:sz w:val="24"/>
          <w:szCs w:val="20"/>
          <w:lang w:eastAsia="pl-PL"/>
        </w:rPr>
        <w:lastRenderedPageBreak/>
        <w:t xml:space="preserve">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DC390B">
          <w:rPr>
            <w:rFonts w:ascii="Times New Roman" w:eastAsia="Times New Roman" w:hAnsi="Times New Roman" w:cs="Times New Roman"/>
            <w:sz w:val="24"/>
            <w:szCs w:val="20"/>
            <w:lang w:eastAsia="pl-PL"/>
          </w:rPr>
          <w:t>0,15 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 Konstrukcje wsporcze</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5.4.1.</w:t>
      </w:r>
      <w:r w:rsidRPr="00DC390B">
        <w:rPr>
          <w:rFonts w:ascii="Times New Roman" w:eastAsia="Times New Roman" w:hAnsi="Times New Roman" w:cs="Times New Roman"/>
          <w:sz w:val="24"/>
          <w:szCs w:val="20"/>
          <w:lang w:eastAsia="pl-PL"/>
        </w:rPr>
        <w:t xml:space="preserve"> Tolerancje ustawienia znaku pionowego</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 słupki, słupy, wysięgniki, konstrukcje dla tablic wielkopowierzchniowych, powinny być wykonane zgodnie z dokumentacją i ST.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Dopuszczalne tolerancje ustawienia znaku:</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od pionu,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1%,</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wysokości umieszczenia znaku,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odległości ustawienia znaku od krawędzi jezdni utwardzonego pobocza lub pasa awaryjnego postoju,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5 cm"/>
        </w:smartTagPr>
        <w:r w:rsidRPr="00DC390B">
          <w:rPr>
            <w:rFonts w:ascii="Times New Roman" w:eastAsia="Times New Roman" w:hAnsi="Times New Roman" w:cs="Times New Roman"/>
            <w:sz w:val="24"/>
            <w:szCs w:val="20"/>
            <w:lang w:eastAsia="pl-PL"/>
          </w:rPr>
          <w:t>5 cm</w:t>
        </w:r>
      </w:smartTag>
      <w:r w:rsidRPr="00DC390B">
        <w:rPr>
          <w:rFonts w:ascii="Times New Roman" w:eastAsia="Times New Roman" w:hAnsi="Times New Roman" w:cs="Times New Roman"/>
          <w:sz w:val="24"/>
          <w:szCs w:val="20"/>
          <w:lang w:eastAsia="pl-PL"/>
        </w:rPr>
        <w:t>, przy zachowaniu minimalnej odległości umieszczenia znaku zgodnie z załącznikiem nr 1 do rozporządzenia Ministra Infrastruktury z dnia 3 lipca 2003 r. [19],</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odcinku prostym drogi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prawo 0-5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lewo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od dopuszczalnego kąta pomiędzy powierzchnią tarczy znaku a osią jezdni, nie więcej niż 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5.4.2. </w:t>
      </w:r>
      <w:r w:rsidRPr="00DC390B">
        <w:rPr>
          <w:rFonts w:ascii="Times New Roman" w:eastAsia="Times New Roman" w:hAnsi="Times New Roman" w:cs="Times New Roman"/>
          <w:sz w:val="24"/>
          <w:szCs w:val="20"/>
          <w:lang w:eastAsia="pl-PL"/>
        </w:rPr>
        <w:t>Zabezpieczenie konstrukcji wsporczej przed najechaniem</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C390B">
          <w:rPr>
            <w:rFonts w:ascii="Times New Roman" w:eastAsia="Times New Roman" w:hAnsi="Times New Roman" w:cs="Times New Roman"/>
            <w:sz w:val="24"/>
            <w:szCs w:val="20"/>
            <w:lang w:eastAsia="pl-PL"/>
          </w:rPr>
          <w:t>4,5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lang w:eastAsia="pl-PL"/>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rsidR="00DC390B" w:rsidRPr="00DC390B" w:rsidRDefault="00DC390B" w:rsidP="00DC390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5.4.3.</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tab/>
        <w:t>Zapobieganie zagrożeniu użytkowników drogi i terenu przyległego - przez konstrukcję wsporczą</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5.4.4. </w:t>
      </w:r>
      <w:r w:rsidRPr="00DC390B">
        <w:rPr>
          <w:rFonts w:ascii="Times New Roman" w:eastAsia="Times New Roman" w:hAnsi="Times New Roman" w:cs="Times New Roman"/>
          <w:sz w:val="24"/>
          <w:szCs w:val="20"/>
          <w:lang w:eastAsia="pl-PL"/>
        </w:rPr>
        <w:t>Tablicowe znaki drogowe na dwóch słupach lub podporach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stosowaniu tablicowych znaków drogowych (drogowskazów tablicowych, tablic </w:t>
      </w:r>
      <w:proofErr w:type="spellStart"/>
      <w:r w:rsidRPr="00DC390B">
        <w:rPr>
          <w:rFonts w:ascii="Times New Roman" w:eastAsia="Times New Roman" w:hAnsi="Times New Roman" w:cs="Times New Roman"/>
          <w:sz w:val="24"/>
          <w:szCs w:val="20"/>
          <w:lang w:eastAsia="pl-PL"/>
        </w:rPr>
        <w:t>przeddrogowskazowych</w:t>
      </w:r>
      <w:proofErr w:type="spellEnd"/>
      <w:r w:rsidRPr="00DC390B">
        <w:rPr>
          <w:rFonts w:ascii="Times New Roman" w:eastAsia="Times New Roman" w:hAnsi="Times New Roman" w:cs="Times New Roman"/>
          <w:sz w:val="24"/>
          <w:szCs w:val="20"/>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DC390B">
          <w:rPr>
            <w:rFonts w:ascii="Times New Roman" w:eastAsia="Times New Roman" w:hAnsi="Times New Roman" w:cs="Times New Roman"/>
            <w:sz w:val="24"/>
            <w:szCs w:val="20"/>
            <w:lang w:eastAsia="pl-PL"/>
          </w:rPr>
          <w:lastRenderedPageBreak/>
          <w:t>1,75 m</w:t>
        </w:r>
      </w:smartTag>
      <w:r w:rsidRPr="00DC390B">
        <w:rPr>
          <w:rFonts w:ascii="Times New Roman" w:eastAsia="Times New Roman" w:hAnsi="Times New Roman" w:cs="Times New Roman"/>
          <w:sz w:val="24"/>
          <w:szCs w:val="20"/>
          <w:lang w:eastAsia="pl-PL"/>
        </w:rPr>
        <w:t>. Przy stosowaniu większej liczby słupów niż dwa - odległość między nimi może być mniejsza.</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5.4.5.</w:t>
      </w:r>
      <w:r w:rsidRPr="00DC390B">
        <w:rPr>
          <w:rFonts w:ascii="Times New Roman" w:eastAsia="Times New Roman" w:hAnsi="Times New Roman" w:cs="Times New Roman"/>
          <w:sz w:val="24"/>
          <w:szCs w:val="20"/>
          <w:lang w:eastAsia="pl-PL"/>
        </w:rPr>
        <w:t xml:space="preserve"> Barwa konstrukcji wsporczej</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5.4.6.</w:t>
      </w:r>
      <w:r w:rsidRPr="00DC390B">
        <w:rPr>
          <w:rFonts w:ascii="Times New Roman" w:eastAsia="Times New Roman" w:hAnsi="Times New Roman" w:cs="Times New Roman"/>
          <w:sz w:val="24"/>
          <w:szCs w:val="20"/>
          <w:lang w:eastAsia="pl-PL"/>
        </w:rPr>
        <w:t xml:space="preserve"> Połączenie tarczy znaku z konstrukcją wsporczą</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Nie dopuszcza się zamocowania znaku do konstrukcji wsporczej w sposób wymagający bezpośredniego przeprowadzenia śrub mocujących przez lico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5.4.7.</w:t>
      </w:r>
      <w:r w:rsidRPr="00DC390B">
        <w:rPr>
          <w:rFonts w:ascii="Times New Roman" w:eastAsia="Times New Roman" w:hAnsi="Times New Roman" w:cs="Times New Roman"/>
          <w:sz w:val="24"/>
          <w:szCs w:val="20"/>
          <w:lang w:eastAsia="pl-PL"/>
        </w:rPr>
        <w:t xml:space="preserve"> Urządzenia elektryczne na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DC390B" w:rsidRPr="00DC390B" w:rsidRDefault="00DC390B" w:rsidP="00DC390B">
      <w:pPr>
        <w:spacing w:after="0" w:line="240" w:lineRule="auto"/>
        <w:jc w:val="both"/>
        <w:rPr>
          <w:rFonts w:ascii="Arial" w:eastAsia="Times New Roman" w:hAnsi="Arial" w:cs="Times New Roman"/>
          <w:sz w:val="24"/>
          <w:szCs w:val="20"/>
          <w:lang w:eastAsia="pl-PL"/>
        </w:rPr>
      </w:pPr>
      <w:r w:rsidRPr="00DC390B">
        <w:rPr>
          <w:rFonts w:ascii="Times New Roman" w:eastAsia="Times New Roman" w:hAnsi="Times New Roman" w:cs="Times New Roman"/>
          <w:sz w:val="24"/>
          <w:szCs w:val="20"/>
          <w:lang w:eastAsia="pl-PL"/>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505581989"/>
      <w:r w:rsidRPr="00DC390B">
        <w:rPr>
          <w:rFonts w:ascii="Times New Roman" w:eastAsia="Times New Roman" w:hAnsi="Times New Roman" w:cs="Times New Roman"/>
          <w:b/>
          <w:caps/>
          <w:kern w:val="28"/>
          <w:sz w:val="24"/>
          <w:szCs w:val="20"/>
          <w:lang w:eastAsia="pl-PL"/>
        </w:rPr>
        <w:t>6. Kontrola jakości robót</w:t>
      </w:r>
      <w:bookmarkEnd w:id="17"/>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6.1. Ogólne zasady kontroli jakości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kontroli jakości robót podano w OST D-M-00.00.00 „Wymagania ogólne” pkt 6.</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6.2. Badania przed przystąpieniem do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Wykonawca powinien:</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dokumenty oraz wyniki badań Wykonawca przedstawia Inżynierowi do akceptacji pod względem spełnienia wymogów formalnych oraz technicznych wynikających z dokumentacji projektowej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6.3. Badania w czasie wykonywania robót</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6.3.1.</w:t>
      </w:r>
      <w:r w:rsidRPr="00DC390B">
        <w:rPr>
          <w:rFonts w:ascii="Times New Roman" w:eastAsia="Times New Roman" w:hAnsi="Times New Roman" w:cs="Times New Roman"/>
          <w:sz w:val="24"/>
          <w:szCs w:val="20"/>
          <w:lang w:eastAsia="pl-PL"/>
        </w:rPr>
        <w:t xml:space="preserve"> Badania materiałów do wykonania fundamentów betonowych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6.3.2. </w:t>
      </w:r>
      <w:r w:rsidRPr="00DC390B">
        <w:rPr>
          <w:rFonts w:ascii="Times New Roman" w:eastAsia="Times New Roman" w:hAnsi="Times New Roman" w:cs="Times New Roman"/>
          <w:sz w:val="24"/>
          <w:szCs w:val="24"/>
          <w:lang w:eastAsia="pl-PL"/>
        </w:rPr>
        <w:t>Badania materiałów w czasie wykonywania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Wszystkie materiały dostarczone na budowę powinny być sprawdzone w zakresie powierzchni wyrobu i jego wymiarów. Szczególnie należy zwrócić uwagę na rodzaj zastosowanej folii odblaskowej i grubość blachy.</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Częstotliwość badań i ocena ich wyników powinna być zgodna z ustaleniami zawartymi w tablicy 7.</w:t>
      </w:r>
    </w:p>
    <w:p w:rsidR="00DC390B" w:rsidRPr="00DC390B" w:rsidRDefault="00DC390B" w:rsidP="00DC390B">
      <w:pPr>
        <w:keepNext/>
        <w:tabs>
          <w:tab w:val="left" w:pos="1134"/>
        </w:tabs>
        <w:overflowPunct w:val="0"/>
        <w:autoSpaceDE w:val="0"/>
        <w:autoSpaceDN w:val="0"/>
        <w:adjustRightInd w:val="0"/>
        <w:spacing w:before="120" w:after="120" w:line="240" w:lineRule="auto"/>
        <w:ind w:left="1134" w:hanging="992"/>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Tablica 7.</w:t>
      </w:r>
      <w:r w:rsidRPr="00DC390B">
        <w:rPr>
          <w:rFonts w:ascii="Times New Roman" w:eastAsia="Times New Roman" w:hAnsi="Times New Roman" w:cs="Times New Roman"/>
          <w:bCs/>
          <w:sz w:val="24"/>
          <w:szCs w:val="24"/>
          <w:lang w:eastAsia="pl-PL"/>
        </w:rPr>
        <w:tab/>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DC390B" w:rsidRPr="00DC390B" w:rsidTr="00E75F6D">
        <w:tc>
          <w:tcPr>
            <w:tcW w:w="567"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Lp.</w:t>
            </w:r>
          </w:p>
        </w:tc>
        <w:tc>
          <w:tcPr>
            <w:tcW w:w="1418"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Rodzaj badania</w:t>
            </w:r>
          </w:p>
        </w:tc>
        <w:tc>
          <w:tcPr>
            <w:tcW w:w="1735"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Liczba badań</w:t>
            </w:r>
          </w:p>
        </w:tc>
        <w:tc>
          <w:tcPr>
            <w:tcW w:w="3720"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Opis badań</w:t>
            </w:r>
          </w:p>
        </w:tc>
        <w:tc>
          <w:tcPr>
            <w:tcW w:w="1417" w:type="dxa"/>
            <w:tcBorders>
              <w:bottom w:val="double" w:sz="4"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Ocena wyników badań</w:t>
            </w:r>
          </w:p>
        </w:tc>
      </w:tr>
      <w:tr w:rsidR="00DC390B" w:rsidRPr="00DC390B" w:rsidTr="00E75F6D">
        <w:trPr>
          <w:cantSplit/>
        </w:trPr>
        <w:tc>
          <w:tcPr>
            <w:tcW w:w="567"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w:t>
            </w:r>
          </w:p>
        </w:tc>
        <w:tc>
          <w:tcPr>
            <w:tcW w:w="1418"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powierzchni i rodzaju materiału</w:t>
            </w:r>
          </w:p>
        </w:tc>
        <w:tc>
          <w:tcPr>
            <w:tcW w:w="1735" w:type="dxa"/>
            <w:vMerge w:val="restart"/>
            <w:tcBorders>
              <w:top w:val="double" w:sz="4" w:space="0" w:color="auto"/>
            </w:tcBorders>
          </w:tcPr>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 1% do 2% wyrobów wybranych losowo z każdej dostarczonej partii wyrobów </w:t>
            </w:r>
          </w:p>
        </w:tc>
        <w:tc>
          <w:tcPr>
            <w:tcW w:w="3720" w:type="dxa"/>
            <w:tcBorders>
              <w:top w:val="double" w:sz="4" w:space="0" w:color="auto"/>
            </w:tcBorders>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Powierzchnię zbadać </w:t>
            </w:r>
            <w:proofErr w:type="spellStart"/>
            <w:r w:rsidRPr="00DC390B">
              <w:rPr>
                <w:rFonts w:ascii="Times New Roman" w:eastAsia="Times New Roman" w:hAnsi="Times New Roman" w:cs="Times New Roman"/>
                <w:sz w:val="24"/>
                <w:szCs w:val="24"/>
                <w:lang w:eastAsia="pl-PL"/>
              </w:rPr>
              <w:t>organoleptycz</w:t>
            </w:r>
            <w:proofErr w:type="spellEnd"/>
            <w:r w:rsidRPr="00DC390B">
              <w:rPr>
                <w:rFonts w:ascii="Times New Roman" w:eastAsia="Times New Roman" w:hAnsi="Times New Roman" w:cs="Times New Roman"/>
                <w:sz w:val="24"/>
                <w:szCs w:val="24"/>
                <w:lang w:eastAsia="pl-PL"/>
              </w:rPr>
              <w:t>-nie i stosując dostępne narzędzia (np. liniały, suwmiarki, mikrometry, grubościomierze itp.</w:t>
            </w:r>
          </w:p>
        </w:tc>
        <w:tc>
          <w:tcPr>
            <w:tcW w:w="1417" w:type="dxa"/>
            <w:vMerge w:val="restart"/>
            <w:tcBorders>
              <w:top w:val="double" w:sz="4" w:space="0" w:color="auto"/>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Wyniki badań powinny być zgodne z wymagania-mi punktu 2</w:t>
            </w:r>
          </w:p>
        </w:tc>
      </w:tr>
      <w:tr w:rsidR="00DC390B" w:rsidRPr="00DC390B" w:rsidTr="00E75F6D">
        <w:trPr>
          <w:cantSplit/>
        </w:trPr>
        <w:tc>
          <w:tcPr>
            <w:tcW w:w="567"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w:t>
            </w:r>
          </w:p>
        </w:tc>
        <w:tc>
          <w:tcPr>
            <w:tcW w:w="1418" w:type="dxa"/>
          </w:tcPr>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wymiarów i wybranych właściwości</w:t>
            </w:r>
          </w:p>
        </w:tc>
        <w:tc>
          <w:tcPr>
            <w:tcW w:w="1735"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c>
          <w:tcPr>
            <w:tcW w:w="3720" w:type="dxa"/>
          </w:tcPr>
          <w:p w:rsidR="00DC390B" w:rsidRPr="00DC390B" w:rsidRDefault="00DC390B" w:rsidP="00DC390B">
            <w:pPr>
              <w:overflowPunct w:val="0"/>
              <w:autoSpaceDE w:val="0"/>
              <w:autoSpaceDN w:val="0"/>
              <w:adjustRightInd w:val="0"/>
              <w:spacing w:after="6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Przeprowadzić sprawdzianami lub przyrządami pomiarowymi (np. liniałami, przymiarami, reflektometrem, kolorymetrem, itp.)</w:t>
            </w:r>
          </w:p>
        </w:tc>
        <w:tc>
          <w:tcPr>
            <w:tcW w:w="1417"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własności odblaskowych i kolorymetrycznych (współczynnika luminancji i współrzędnych chromatyczności) zaleca się przeprowadzić na licach tarcz znaków przed zamontowaniem na konstrukcjach wsporczych.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 przypadkach budzących wątpliwości należy zlecić uprawnionej jednostce zbadanie właściwości dostarczonych wyrobów i materiałów w zakresie wymagań podanych w punkcie 2. Przykładowy zestaw badań kontrolnych może obejmować sprawdzenie: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surowców:</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blachy i grubości ścianki słupka,</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wytrzymałości folii na oderwanie,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półproduktów lub gotowej tarczy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powłoki lakierniczej,</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płaskości powierzchni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wymiarów tarczy, lica znaku i rysunków na nim zawartych,</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współczynnika odblasku folii na licu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współrzędnych chromatyczności i współczynnika luminancji na licu i rewersie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chwilowego i trwałego odkształcenia zginającego tarczę znaku i słupek,</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odporności na uderzenie kulą.</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6.3.3. </w:t>
      </w:r>
      <w:r w:rsidRPr="00DC390B">
        <w:rPr>
          <w:rFonts w:ascii="Times New Roman" w:eastAsia="Times New Roman" w:hAnsi="Times New Roman" w:cs="Times New Roman"/>
          <w:sz w:val="24"/>
          <w:szCs w:val="24"/>
          <w:lang w:eastAsia="pl-PL"/>
        </w:rPr>
        <w:t>Kontrola w czasie wykonywania robót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 czasie wykonywania robót należy sprawdzać:</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zgodność wykonania znaków pionowych z dokumentacją projektową (lokalizacja, wymiary znaków, wysokość zamocowania znaków),</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zachowanie dopuszczalnych odchyłek wymiarów, zgodnie z punktem 2 i 5,</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prawidłowość wykonania wykopów pod konstrukcje wsporcze,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wykonania fundamentów pod słupki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ustawienia słupków i konstrukcji wsporczych, zgodnie z punktem 5.4,</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rodzaju i grubości blachy ze specyfikacją,</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cynku na słupkach i blasze stalowej,</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lakieru na rewersie tarczy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6.3.4. </w:t>
      </w:r>
      <w:r w:rsidRPr="00DC390B">
        <w:rPr>
          <w:rFonts w:ascii="Times New Roman" w:eastAsia="Times New Roman" w:hAnsi="Times New Roman" w:cs="Times New Roman"/>
          <w:sz w:val="24"/>
          <w:szCs w:val="24"/>
          <w:lang w:eastAsia="pl-PL"/>
        </w:rPr>
        <w:t>Kontrola przed odbiorem końcowym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Do odbioru końcowego robót należy:</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sprawdzić zgodność wykonania zlecenia z podpisaną umową i ST,</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dokonać objazdu nocnego i ocenić odblaskowość wykonanego oznakowania,</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jeśli są wątpliwości wykonać własnym sprzętem lub zlecić wykonanie badań odblaskowości.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505581990"/>
      <w:r w:rsidRPr="00DC390B">
        <w:rPr>
          <w:rFonts w:ascii="Times New Roman" w:eastAsia="Times New Roman" w:hAnsi="Times New Roman" w:cs="Times New Roman"/>
          <w:b/>
          <w:caps/>
          <w:kern w:val="28"/>
          <w:sz w:val="24"/>
          <w:szCs w:val="20"/>
          <w:lang w:eastAsia="pl-PL"/>
        </w:rPr>
        <w:t>7. Obmiar robót</w:t>
      </w:r>
      <w:bookmarkEnd w:id="18"/>
    </w:p>
    <w:p w:rsidR="00DC390B" w:rsidRPr="00DC390B" w:rsidRDefault="00DC390B" w:rsidP="00DC390B">
      <w:pPr>
        <w:keepNext/>
        <w:numPr>
          <w:ilvl w:val="12"/>
          <w:numId w:val="0"/>
        </w:numPr>
        <w:overflowPunct w:val="0"/>
        <w:autoSpaceDE w:val="0"/>
        <w:autoSpaceDN w:val="0"/>
        <w:adjustRightInd w:val="0"/>
        <w:spacing w:before="120" w:after="6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7.1. Ogólne zasady obmiaru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Ogólne zasady obmiaru robót podano w OST  D-M-00.00.00 „Wymagania ogólne” pkt 7.</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7.2. Jednostka obmiarowa</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Jednostkami obmiarowymi są:</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szt. (sztuka), dla znaków drogowych konwencjonalnych oraz konstrukcji wsporczych,</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 xml:space="preserve"> (metr kwadratowy) powierzchni tablic dla znaków pozostałych.</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9" w:name="_Toc505581991"/>
      <w:r w:rsidRPr="00DC390B">
        <w:rPr>
          <w:rFonts w:ascii="Times New Roman" w:eastAsia="Times New Roman" w:hAnsi="Times New Roman" w:cs="Times New Roman"/>
          <w:b/>
          <w:caps/>
          <w:kern w:val="28"/>
          <w:sz w:val="24"/>
          <w:szCs w:val="20"/>
          <w:lang w:eastAsia="pl-PL"/>
        </w:rPr>
        <w:t>8. Odbiór robót</w:t>
      </w:r>
      <w:bookmarkEnd w:id="19"/>
    </w:p>
    <w:p w:rsidR="00DC390B" w:rsidRPr="00DC390B" w:rsidRDefault="00DC390B" w:rsidP="00DC390B">
      <w:pPr>
        <w:keepNext/>
        <w:numPr>
          <w:ilvl w:val="12"/>
          <w:numId w:val="0"/>
        </w:numPr>
        <w:overflowPunct w:val="0"/>
        <w:autoSpaceDE w:val="0"/>
        <w:autoSpaceDN w:val="0"/>
        <w:adjustRightInd w:val="0"/>
        <w:spacing w:before="6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8.1. Ogólne zasady odbioru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odbioru robót podano w OST  D-M-00.00.00 „Wymagania ogólne” pkt 8.</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Roboty uznaje się za wykonane zgodnie z dokumentacją projektową, ST i wymaganiami Inżyniera, jeżeli przeprowadzone badania i pomiary z zachowaniem tolerancji według </w:t>
      </w:r>
      <w:proofErr w:type="spellStart"/>
      <w:r w:rsidRPr="00DC390B">
        <w:rPr>
          <w:rFonts w:ascii="Times New Roman" w:eastAsia="Times New Roman" w:hAnsi="Times New Roman" w:cs="Times New Roman"/>
          <w:sz w:val="24"/>
          <w:szCs w:val="20"/>
          <w:lang w:eastAsia="pl-PL"/>
        </w:rPr>
        <w:t>pktu</w:t>
      </w:r>
      <w:proofErr w:type="spellEnd"/>
      <w:r w:rsidRPr="00DC390B">
        <w:rPr>
          <w:rFonts w:ascii="Times New Roman" w:eastAsia="Times New Roman" w:hAnsi="Times New Roman" w:cs="Times New Roman"/>
          <w:sz w:val="24"/>
          <w:szCs w:val="20"/>
          <w:lang w:eastAsia="pl-PL"/>
        </w:rPr>
        <w:t xml:space="preserve"> 6 dały wyniki pozytywne.</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8.2. Odbiór ostateczny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w:t>
      </w:r>
      <w:r w:rsidRPr="00DC390B">
        <w:rPr>
          <w:rFonts w:ascii="Times New Roman" w:eastAsia="Times New Roman" w:hAnsi="Times New Roman" w:cs="Times New Roman"/>
          <w:sz w:val="24"/>
          <w:szCs w:val="20"/>
          <w:lang w:eastAsia="pl-PL"/>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8.3. Odbiór pogwarancyjny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upływem okresu gwarancyjnego jakości należy wykonać przegląd znaków i wybraną grupę poddać badaniom fotometrycznym lica. Pozytywne wyniki przeglądu i badań mogą być podstawą odbioru pogwarancyjnego.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polega na ocenie wykonanych robót związanych z usunięciem wad stwierdzonych w trakcie odbioru ostatecznego i zaistniałych w okresie gwarancyjnym.</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zaleca się przeprowadzić w ciągu 1 miesiąca po upływie okresu gwarancyjnego, ustalonego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0" w:name="_Toc505581992"/>
      <w:r w:rsidRPr="00DC390B">
        <w:rPr>
          <w:rFonts w:ascii="Times New Roman" w:eastAsia="Times New Roman" w:hAnsi="Times New Roman" w:cs="Times New Roman"/>
          <w:b/>
          <w:caps/>
          <w:kern w:val="28"/>
          <w:sz w:val="24"/>
          <w:szCs w:val="20"/>
          <w:lang w:eastAsia="pl-PL"/>
        </w:rPr>
        <w:t>9. Podstawa płatności</w:t>
      </w:r>
      <w:bookmarkEnd w:id="20"/>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9.1. Ogólne ustalenia dotyczące podstawy płatności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ustalenia dotyczące podstawy płatności podano w OST D-M-00.00.00 „Wymagania ogólne” pkt 9. </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9.2. Cena jednostki obmiarowej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Cena wykonania jednostki obmiarowej oznakowania pionowego obejmuje: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prace pomiarowe i roboty przygotowawcze,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dostarczenie i ustawienie konstrukcji wsporczych,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zamocowanie tarcz znaków drogowych,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przeprowadzenie pomiarów i badań wymaganych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1" w:name="_Toc505581993"/>
      <w:r w:rsidRPr="00DC390B">
        <w:rPr>
          <w:rFonts w:ascii="Times New Roman" w:eastAsia="Times New Roman" w:hAnsi="Times New Roman" w:cs="Times New Roman"/>
          <w:b/>
          <w:caps/>
          <w:kern w:val="28"/>
          <w:sz w:val="24"/>
          <w:szCs w:val="20"/>
          <w:lang w:eastAsia="pl-PL"/>
        </w:rPr>
        <w:t>10. Przepisy związane</w:t>
      </w:r>
      <w:bookmarkEnd w:id="2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6066"/>
      </w:tblGrid>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12899-1:2010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Stałe, pionowe znaki drogowe - Część 1: Znaki stałe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12767:2008</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Bierne bezpieczeństwo konstrukcji wsporczych dla urządzeń drogowych - Wymagania i metody badań</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 xml:space="preserve">PN-EN 1992-1-1: 2008/NA:2016-11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2: Projektowanie konstrukcji z betonu – Część 1-1: Reguły ogólne i reguły dla budynków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4. </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206+A1:2016-12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 - Wymagania, właściwości, produkcja i zgodność</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1993-1-8: 2006/NA:2011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3: Projektowanie konstrukcji stalowych – Część 1-8: Projektowanie węzłów</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10255+A1:2009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Rury ze </w:t>
            </w:r>
            <w:r w:rsidRPr="00DC390B">
              <w:rPr>
                <w:rFonts w:ascii="Times New Roman" w:eastAsia="Times New Roman" w:hAnsi="Times New Roman" w:cs="Times New Roman"/>
                <w:szCs w:val="20"/>
                <w:lang w:eastAsia="pl-PL"/>
              </w:rPr>
              <w:t>stali</w:t>
            </w:r>
            <w:r w:rsidRPr="00DC390B">
              <w:rPr>
                <w:rFonts w:ascii="Times New Roman" w:eastAsia="Times New Roman" w:hAnsi="Times New Roman" w:cs="Times New Roman"/>
                <w:sz w:val="24"/>
                <w:szCs w:val="20"/>
                <w:lang w:eastAsia="pl-PL"/>
              </w:rPr>
              <w:t xml:space="preserve"> niskostopowych do spawania i gwintowana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10346:2009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płaskie stalowe powlekane ogniowo w sposób ciągły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485-4:1997</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Aluminium i stopy aluminium - Blachy, taśmy i płyty - Tolerancje kształtu i wymiarów wyrobów walcowanych na zimno</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9.</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1461:2011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Powłoki cynkowe nanoszone na wyroby stalowe i żeliwne metodą zanurzeniową - Wymaganie i metody badań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10240:2001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Wewnętrzne i/lub zewnętrzne powłoki ochronne rur stalowych - Wymagania dotyczące powłok wykonanych przez cynkowanie ogniowe w ocynkowniach zautomatyzowanych</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 ISO 7253:2000</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lakierowe – Oznaczenie odporności powłok na działanie mgły solnej</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12.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2808: 2008+A2:2014-07</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Farby i lakiery - Oznaczanie grubości powłoki</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60598-2-2:2012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2-2:Wymagania szczegółowe - Oprawy oświetleniowe wbudowane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14.</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60529:2003</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Stopnie ochrony zapewnianej przez obudowy (Kod IP)</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60598-1: 2015-04</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1: Wymagania ogólne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PN-HD 60364-1: 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Instalacje elektryczne niskiego napięcia – Wymagania podstawowe, ustalanie ogólnych charakterystyk, definicje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PN-S-02205:1998</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Drogi samochodowe. Roboty ziemne. Wymagania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40-5:2004</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Słupy oświetleniowe – Część 5: Słupy oświetleniowe stalowe - Wymagania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10.2  Przepisy związane</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Spraw Wewnętrznych i Administracji z dnia 12 października 2002 r. w sprawie znaków i symboli drogowych (Dz. U. nr 170, poz. 1393)</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Parlamentu Europejskiego i Rady (UE) Nr 305/2011 z dnia 9 marca 2011 r. ustanawiające zharmonizowane warunki wprowadzania do obrotu wyrobów budowlanych i uchylające dyrektywę Rady 89/106/EWG</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z dnia 17 listopada 2016 w sprawie sposobu deklarowania właściwości użytkowych wyrobów budowlanych oraz sposobu ich znakowania znakiem budowlanym (Dz. U. z 2016 r., poz.1966),</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GB" w:eastAsia="pl-PL"/>
        </w:rPr>
        <w:t>Pryzmatyczne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folie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odblaskowe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Microprismatic</w:t>
      </w:r>
      <w:proofErr w:type="spellEnd"/>
      <w:r w:rsidRPr="00DC390B">
        <w:rPr>
          <w:rFonts w:ascii="Times New Roman" w:eastAsia="Times New Roman" w:hAnsi="Times New Roman" w:cs="Times New Roman"/>
          <w:sz w:val="24"/>
          <w:szCs w:val="20"/>
          <w:lang w:val="en-US" w:eastAsia="pl-PL"/>
        </w:rPr>
        <w:t xml:space="preserve"> retro-reflective </w:t>
      </w:r>
      <w:proofErr w:type="spellStart"/>
      <w:r w:rsidRPr="00DC390B">
        <w:rPr>
          <w:rFonts w:ascii="Times New Roman" w:eastAsia="Times New Roman" w:hAnsi="Times New Roman" w:cs="Times New Roman"/>
          <w:sz w:val="24"/>
          <w:szCs w:val="20"/>
          <w:lang w:val="en-GB" w:eastAsia="pl-PL"/>
        </w:rPr>
        <w:t>sheetings</w:t>
      </w:r>
      <w:proofErr w:type="spellEnd"/>
      <w:r w:rsidRPr="00DC390B">
        <w:rPr>
          <w:rFonts w:ascii="Times New Roman" w:eastAsia="Times New Roman" w:hAnsi="Times New Roman" w:cs="Times New Roman"/>
          <w:sz w:val="24"/>
          <w:szCs w:val="20"/>
          <w:lang w:val="en-GB" w:eastAsia="pl-PL"/>
        </w:rPr>
        <w:t>)</w:t>
      </w:r>
      <w:r w:rsidRPr="00DC390B">
        <w:rPr>
          <w:rFonts w:ascii="Times New Roman" w:eastAsia="Times New Roman" w:hAnsi="Times New Roman" w:cs="Times New Roman"/>
          <w:sz w:val="24"/>
          <w:szCs w:val="20"/>
          <w:lang w:val="en-US" w:eastAsia="pl-PL"/>
        </w:rPr>
        <w:t>, EAD 120001-00-0106, EOTA, 2015</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wyrobach budowlanych (tekst jednolity Dz. U. z 2016 r., poz. 1570 z późn. zm.)</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systemach oceny zgodności i nadzoru rynku z 13 kwietnia 2016 r. (Dz.U. z 2016 r., poz. 542 i 1228)</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 xml:space="preserve">RAL Control Chart, </w:t>
      </w:r>
      <w:proofErr w:type="spellStart"/>
      <w:r w:rsidRPr="00DC390B">
        <w:rPr>
          <w:rFonts w:ascii="Times New Roman" w:eastAsia="Times New Roman" w:hAnsi="Times New Roman" w:cs="Times New Roman"/>
          <w:sz w:val="24"/>
          <w:szCs w:val="20"/>
          <w:lang w:val="de-DE" w:eastAsia="pl-PL"/>
        </w:rPr>
        <w:t>Niemiecki</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Instytut</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Jakości</w:t>
      </w:r>
      <w:proofErr w:type="spellEnd"/>
      <w:r w:rsidRPr="00DC390B">
        <w:rPr>
          <w:rFonts w:ascii="Times New Roman" w:eastAsia="Times New Roman" w:hAnsi="Times New Roman" w:cs="Times New Roman"/>
          <w:sz w:val="24"/>
          <w:szCs w:val="20"/>
          <w:lang w:val="de-DE" w:eastAsia="pl-PL"/>
        </w:rPr>
        <w:t xml:space="preserve"> i </w:t>
      </w:r>
      <w:proofErr w:type="spellStart"/>
      <w:r w:rsidRPr="00DC390B">
        <w:rPr>
          <w:rFonts w:ascii="Times New Roman" w:eastAsia="Times New Roman" w:hAnsi="Times New Roman" w:cs="Times New Roman"/>
          <w:sz w:val="24"/>
          <w:szCs w:val="20"/>
          <w:lang w:val="de-DE" w:eastAsia="pl-PL"/>
        </w:rPr>
        <w:t>Oznaczeń</w:t>
      </w:r>
      <w:proofErr w:type="spellEnd"/>
      <w:r w:rsidRPr="00DC390B">
        <w:rPr>
          <w:rFonts w:ascii="Times New Roman" w:eastAsia="Times New Roman" w:hAnsi="Times New Roman" w:cs="Times New Roman"/>
          <w:sz w:val="24"/>
          <w:szCs w:val="20"/>
          <w:lang w:val="de-DE" w:eastAsia="pl-PL"/>
        </w:rPr>
        <w:t> </w:t>
      </w:r>
      <w:r w:rsidRPr="00DC390B">
        <w:rPr>
          <w:rFonts w:ascii="Times New Roman" w:eastAsia="Times New Roman" w:hAnsi="Times New Roman" w:cs="Times New Roman"/>
          <w:iCs/>
          <w:sz w:val="24"/>
          <w:szCs w:val="20"/>
          <w:lang w:val="de-DE" w:eastAsia="pl-PL"/>
        </w:rPr>
        <w:t>RAL „Deutsches Institut für Gütesicherung und Kennzeichnung</w:t>
      </w:r>
      <w:r w:rsidRPr="00DC390B">
        <w:rPr>
          <w:rFonts w:ascii="Times New Roman" w:eastAsia="Times New Roman" w:hAnsi="Times New Roman" w:cs="Times New Roman"/>
          <w:sz w:val="24"/>
          <w:szCs w:val="20"/>
          <w:lang w:val="de-DE" w:eastAsia="pl-PL"/>
        </w:rPr>
        <w:t xml:space="preserve"> e. V.“, www.ralcolor.com </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CIE No. 54 (TC-2.3) </w:t>
      </w:r>
      <w:proofErr w:type="spellStart"/>
      <w:r w:rsidRPr="00DC390B">
        <w:rPr>
          <w:rFonts w:ascii="Times New Roman" w:eastAsia="Times New Roman" w:hAnsi="Times New Roman" w:cs="Times New Roman"/>
          <w:sz w:val="24"/>
          <w:szCs w:val="20"/>
          <w:lang w:eastAsia="pl-PL"/>
        </w:rPr>
        <w:t>Retroreflection</w:t>
      </w:r>
      <w:proofErr w:type="spellEnd"/>
      <w:r w:rsidRPr="00DC390B">
        <w:rPr>
          <w:rFonts w:ascii="Times New Roman" w:eastAsia="Times New Roman" w:hAnsi="Times New Roman" w:cs="Times New Roman"/>
          <w:sz w:val="24"/>
          <w:szCs w:val="20"/>
          <w:lang w:eastAsia="pl-PL"/>
        </w:rPr>
        <w:t xml:space="preserve"> - Definition and </w:t>
      </w:r>
      <w:proofErr w:type="spellStart"/>
      <w:r w:rsidRPr="00DC390B">
        <w:rPr>
          <w:rFonts w:ascii="Times New Roman" w:eastAsia="Times New Roman" w:hAnsi="Times New Roman" w:cs="Times New Roman"/>
          <w:sz w:val="24"/>
          <w:szCs w:val="20"/>
          <w:lang w:eastAsia="pl-PL"/>
        </w:rPr>
        <w:t>measurement</w:t>
      </w:r>
      <w:proofErr w:type="spellEnd"/>
      <w:r w:rsidRPr="00DC390B">
        <w:rPr>
          <w:rFonts w:ascii="Times New Roman" w:eastAsia="Times New Roman" w:hAnsi="Times New Roman" w:cs="Times New Roman"/>
          <w:sz w:val="24"/>
          <w:szCs w:val="20"/>
          <w:lang w:eastAsia="pl-PL"/>
        </w:rPr>
        <w:t xml:space="preserve"> (Powierzchniowy współczynnik odblasku - definicja i pomiary). </w:t>
      </w:r>
      <w:proofErr w:type="spellStart"/>
      <w:r w:rsidRPr="00DC390B">
        <w:rPr>
          <w:rFonts w:ascii="Times New Roman" w:eastAsia="Times New Roman" w:hAnsi="Times New Roman" w:cs="Times New Roman"/>
          <w:sz w:val="24"/>
          <w:szCs w:val="20"/>
          <w:lang w:eastAsia="pl-PL"/>
        </w:rPr>
        <w:t>Bureau</w:t>
      </w:r>
      <w:proofErr w:type="spellEnd"/>
      <w:r w:rsidRPr="00DC390B">
        <w:rPr>
          <w:rFonts w:ascii="Times New Roman" w:eastAsia="Times New Roman" w:hAnsi="Times New Roman" w:cs="Times New Roman"/>
          <w:sz w:val="24"/>
          <w:szCs w:val="20"/>
          <w:lang w:eastAsia="pl-PL"/>
        </w:rPr>
        <w:t xml:space="preserve"> Central, Paris, 1982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Aktywne Pionowe Znaki Drogowe i Urządzenia Bezpieczeństwa Ruchu Drogowego, Zalecenia nr Z/2010-03-024, Zeszyt 80, seria I,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2010</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budowlane  (tekst jednolity Dz. U. z 2017 r., poz.1332)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zamówień publicznych (tekst jednolity Dz. U. z 2017 r., poz. 1579)</w:t>
      </w:r>
    </w:p>
    <w:p w:rsidR="00DC390B" w:rsidRDefault="00DC390B" w:rsidP="00DC390B">
      <w:r w:rsidRPr="00DC390B">
        <w:rPr>
          <w:rFonts w:ascii="Times New Roman" w:eastAsia="Times New Roman" w:hAnsi="Times New Roman" w:cs="Times New Roman"/>
          <w:sz w:val="24"/>
          <w:szCs w:val="20"/>
          <w:lang w:eastAsia="pl-PL"/>
        </w:rPr>
        <w:t>Rozporządzenie Ministra Infrastruktury z dnia17 listopada 2016 r. w sprawie krajowych ocen technicznych (Dz. U. z 2016 r., poz. 1968)</w:t>
      </w:r>
    </w:p>
    <w:sectPr w:rsidR="00DC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abstractNumId w:val="26"/>
  </w:num>
  <w:num w:numId="2">
    <w:abstractNumId w:val="10"/>
  </w:num>
  <w:num w:numId="3">
    <w:abstractNumId w:val="7"/>
  </w:num>
  <w:num w:numId="4">
    <w:abstractNumId w:val="13"/>
  </w:num>
  <w:num w:numId="5">
    <w:abstractNumId w:val="22"/>
  </w:num>
  <w:num w:numId="6">
    <w:abstractNumId w:val="15"/>
  </w:num>
  <w:num w:numId="7">
    <w:abstractNumId w:val="6"/>
  </w:num>
  <w:num w:numId="8">
    <w:abstractNumId w:val="21"/>
  </w:num>
  <w:num w:numId="9">
    <w:abstractNumId w:val="29"/>
  </w:num>
  <w:num w:numId="10">
    <w:abstractNumId w:val="8"/>
  </w:num>
  <w:num w:numId="11">
    <w:abstractNumId w:val="4"/>
  </w:num>
  <w:num w:numId="12">
    <w:abstractNumId w:val="14"/>
  </w:num>
  <w:num w:numId="13">
    <w:abstractNumId w:val="24"/>
  </w:num>
  <w:num w:numId="14">
    <w:abstractNumId w:val="19"/>
  </w:num>
  <w:num w:numId="15">
    <w:abstractNumId w:val="31"/>
  </w:num>
  <w:num w:numId="16">
    <w:abstractNumId w:val="17"/>
  </w:num>
  <w:num w:numId="17">
    <w:abstractNumId w:val="0"/>
  </w:num>
  <w:num w:numId="18">
    <w:abstractNumId w:val="3"/>
  </w:num>
  <w:num w:numId="19">
    <w:abstractNumId w:val="9"/>
  </w:num>
  <w:num w:numId="20">
    <w:abstractNumId w:val="20"/>
  </w:num>
  <w:num w:numId="21">
    <w:abstractNumId w:val="32"/>
  </w:num>
  <w:num w:numId="22">
    <w:abstractNumId w:val="35"/>
  </w:num>
  <w:num w:numId="23">
    <w:abstractNumId w:val="23"/>
  </w:num>
  <w:num w:numId="24">
    <w:abstractNumId w:val="36"/>
  </w:num>
  <w:num w:numId="25">
    <w:abstractNumId w:val="34"/>
  </w:num>
  <w:num w:numId="26">
    <w:abstractNumId w:val="1"/>
  </w:num>
  <w:num w:numId="27">
    <w:abstractNumId w:val="18"/>
  </w:num>
  <w:num w:numId="28">
    <w:abstractNumId w:val="28"/>
  </w:num>
  <w:num w:numId="29">
    <w:abstractNumId w:val="16"/>
  </w:num>
  <w:num w:numId="30">
    <w:abstractNumId w:val="12"/>
  </w:num>
  <w:num w:numId="31">
    <w:abstractNumId w:val="2"/>
  </w:num>
  <w:num w:numId="32">
    <w:abstractNumId w:val="30"/>
  </w:num>
  <w:num w:numId="33">
    <w:abstractNumId w:val="11"/>
  </w:num>
  <w:num w:numId="34">
    <w:abstractNumId w:val="27"/>
  </w:num>
  <w:num w:numId="35">
    <w:abstractNumId w:val="5"/>
  </w:num>
  <w:num w:numId="36">
    <w:abstractNumId w:val="3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0B"/>
    <w:rsid w:val="002007C4"/>
    <w:rsid w:val="006117F5"/>
    <w:rsid w:val="00811CC2"/>
    <w:rsid w:val="00DC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9385</Words>
  <Characters>56316</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2021-03-18T12:42:00Z</cp:lastPrinted>
  <dcterms:created xsi:type="dcterms:W3CDTF">2021-03-18T11:07:00Z</dcterms:created>
  <dcterms:modified xsi:type="dcterms:W3CDTF">2021-10-13T11:38:00Z</dcterms:modified>
</cp:coreProperties>
</file>